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B2290">
      <w:pPr>
        <w:ind w:left="0" w:firstLine="0"/>
        <w:jc w:val="left"/>
        <w:rPr>
          <w:rFonts w:hint="eastAsia" w:ascii="宋体" w:hAnsi="宋体"/>
          <w:b/>
          <w:bCs/>
          <w:sz w:val="32"/>
          <w:szCs w:val="28"/>
        </w:rPr>
      </w:pPr>
      <w:r>
        <w:rPr>
          <w:rFonts w:hint="eastAsia" w:ascii="宋体" w:hAnsi="宋体" w:eastAsia="宋体" w:cs="宋体"/>
          <w:color w:val="auto"/>
          <w:sz w:val="24"/>
          <w:highlight w:val="none"/>
        </w:rPr>
        <w:t>附件</w:t>
      </w:r>
      <w:r>
        <w:rPr>
          <w:rFonts w:hint="eastAsia" w:ascii="宋体" w:hAnsi="宋体" w:eastAsia="宋体" w:cs="宋体"/>
          <w:color w:val="auto"/>
          <w:sz w:val="24"/>
          <w:highlight w:val="none"/>
          <w:lang w:val="en-US" w:eastAsia="zh-CN"/>
        </w:rPr>
        <w:t>2</w:t>
      </w:r>
      <w:bookmarkStart w:id="18" w:name="_GoBack"/>
      <w:bookmarkEnd w:id="18"/>
    </w:p>
    <w:p w14:paraId="569E1F76">
      <w:pPr>
        <w:ind w:left="0" w:firstLine="0"/>
        <w:jc w:val="center"/>
        <w:rPr>
          <w:rFonts w:hint="eastAsia" w:ascii="宋体" w:hAnsi="宋体"/>
          <w:b/>
          <w:bCs/>
          <w:sz w:val="32"/>
          <w:szCs w:val="28"/>
        </w:rPr>
      </w:pPr>
      <w:r>
        <w:rPr>
          <w:rFonts w:hint="eastAsia" w:ascii="宋体" w:hAnsi="宋体"/>
          <w:b/>
          <w:bCs/>
          <w:sz w:val="32"/>
          <w:szCs w:val="28"/>
        </w:rPr>
        <w:t>德宏州人民医院</w:t>
      </w:r>
      <w:r>
        <w:rPr>
          <w:rFonts w:hint="eastAsia" w:ascii="宋体" w:hAnsi="宋体"/>
          <w:b/>
          <w:bCs/>
          <w:sz w:val="32"/>
          <w:szCs w:val="28"/>
          <w:lang w:eastAsia="zh-CN"/>
        </w:rPr>
        <w:t>网络</w:t>
      </w:r>
      <w:r>
        <w:rPr>
          <w:rFonts w:hint="eastAsia" w:ascii="宋体" w:hAnsi="宋体"/>
          <w:b/>
          <w:bCs/>
          <w:sz w:val="32"/>
          <w:szCs w:val="28"/>
        </w:rPr>
        <w:t>安全</w:t>
      </w:r>
      <w:r>
        <w:rPr>
          <w:rFonts w:hint="eastAsia" w:ascii="宋体" w:hAnsi="宋体"/>
          <w:b/>
          <w:bCs/>
          <w:sz w:val="32"/>
          <w:szCs w:val="28"/>
          <w:lang w:eastAsia="zh-CN"/>
        </w:rPr>
        <w:t>设备授权</w:t>
      </w:r>
      <w:r>
        <w:rPr>
          <w:rFonts w:hint="eastAsia" w:ascii="宋体" w:hAnsi="宋体"/>
          <w:b/>
          <w:bCs/>
          <w:sz w:val="32"/>
          <w:szCs w:val="28"/>
        </w:rPr>
        <w:t>项目参数</w:t>
      </w:r>
    </w:p>
    <w:p w14:paraId="35921428">
      <w:pPr>
        <w:ind w:left="0" w:firstLine="0"/>
        <w:jc w:val="center"/>
        <w:rPr>
          <w:rFonts w:ascii="宋体" w:hAnsi="宋体"/>
          <w:b/>
          <w:bCs/>
          <w:sz w:val="32"/>
          <w:szCs w:val="28"/>
        </w:rPr>
      </w:pPr>
      <w:r>
        <w:rPr>
          <w:rFonts w:hint="eastAsia" w:ascii="宋体" w:hAnsi="宋体"/>
          <w:b/>
          <w:bCs/>
          <w:sz w:val="32"/>
          <w:szCs w:val="28"/>
        </w:rPr>
        <w:t>要求及评分办法</w:t>
      </w:r>
    </w:p>
    <w:p w14:paraId="4428903E">
      <w:pPr>
        <w:pStyle w:val="3"/>
        <w:numPr>
          <w:ilvl w:val="0"/>
          <w:numId w:val="1"/>
        </w:numPr>
        <w:spacing w:before="120" w:after="120" w:line="360" w:lineRule="auto"/>
        <w:ind w:left="0" w:firstLine="0"/>
        <w:rPr>
          <w:rFonts w:ascii="宋体" w:hAnsi="宋体"/>
          <w:sz w:val="32"/>
          <w:szCs w:val="32"/>
        </w:rPr>
      </w:pPr>
      <w:r>
        <w:rPr>
          <w:rFonts w:hint="eastAsia" w:ascii="宋体" w:hAnsi="宋体"/>
          <w:sz w:val="32"/>
          <w:szCs w:val="32"/>
        </w:rPr>
        <w:t>项目背景</w:t>
      </w:r>
    </w:p>
    <w:p w14:paraId="317B7E88">
      <w:pPr>
        <w:spacing w:line="360" w:lineRule="auto"/>
        <w:ind w:left="0" w:firstLine="480" w:firstLineChars="200"/>
        <w:rPr>
          <w:rFonts w:hint="eastAsia" w:ascii="宋体" w:hAnsi="宋体"/>
          <w:sz w:val="24"/>
          <w:szCs w:val="24"/>
        </w:rPr>
      </w:pPr>
      <w:r>
        <w:rPr>
          <w:rFonts w:hint="eastAsia" w:ascii="宋体" w:hAnsi="宋体"/>
          <w:sz w:val="24"/>
          <w:szCs w:val="24"/>
        </w:rPr>
        <w:t>德宏州人民医院</w:t>
      </w:r>
      <w:r>
        <w:rPr>
          <w:rFonts w:hint="eastAsia" w:ascii="宋体" w:hAnsi="宋体"/>
          <w:sz w:val="24"/>
          <w:szCs w:val="24"/>
          <w:lang w:eastAsia="zh-CN"/>
        </w:rPr>
        <w:t>于</w:t>
      </w:r>
      <w:r>
        <w:rPr>
          <w:rFonts w:hint="eastAsia" w:ascii="宋体" w:hAnsi="宋体"/>
          <w:sz w:val="24"/>
          <w:szCs w:val="24"/>
          <w:lang w:val="en-US" w:eastAsia="zh-CN"/>
        </w:rPr>
        <w:t>2022年</w:t>
      </w:r>
      <w:r>
        <w:rPr>
          <w:rFonts w:hint="eastAsia" w:ascii="宋体" w:hAnsi="宋体"/>
          <w:sz w:val="24"/>
          <w:szCs w:val="24"/>
        </w:rPr>
        <w:t>构建信息安全等级保护体系，并部署了相应的等保设备，以保障信息系统的保密性、完整性与可用性。然而，目前部分等保设备的授权即将到期，若不及时续费，设备的安全防护功能将受限制，无法持续为医院信息系统提供全面的安全防护。这可能导致医院面临网络攻击威胁，如数据泄露、系统瘫痪等风险，进而影响正常医疗服务的开展，甚至引发法律纠纷与信任危机。为确保医院信息系统安全稳定运行，依据国家相关法律法规及行业规范，德宏州人民医院</w:t>
      </w:r>
      <w:r>
        <w:rPr>
          <w:rFonts w:hint="eastAsia" w:ascii="宋体" w:hAnsi="宋体"/>
          <w:sz w:val="24"/>
          <w:szCs w:val="24"/>
          <w:lang w:eastAsia="zh-CN"/>
        </w:rPr>
        <w:t>现</w:t>
      </w:r>
      <w:r>
        <w:rPr>
          <w:rFonts w:hint="eastAsia" w:ascii="宋体" w:hAnsi="宋体"/>
          <w:sz w:val="24"/>
          <w:szCs w:val="24"/>
        </w:rPr>
        <w:t>对</w:t>
      </w:r>
      <w:r>
        <w:rPr>
          <w:rFonts w:hint="eastAsia" w:ascii="宋体" w:hAnsi="宋体"/>
          <w:sz w:val="24"/>
          <w:szCs w:val="24"/>
          <w:lang w:eastAsia="zh-CN"/>
        </w:rPr>
        <w:t>即将</w:t>
      </w:r>
      <w:r>
        <w:rPr>
          <w:rFonts w:hint="eastAsia" w:ascii="宋体" w:hAnsi="宋体"/>
          <w:sz w:val="24"/>
          <w:szCs w:val="24"/>
        </w:rPr>
        <w:t>到期的等保设备授权进行续费。</w:t>
      </w:r>
    </w:p>
    <w:p w14:paraId="47EA0DC8">
      <w:pPr>
        <w:spacing w:line="360" w:lineRule="auto"/>
        <w:rPr>
          <w:rFonts w:ascii="宋体" w:hAnsi="宋体"/>
          <w:sz w:val="24"/>
          <w:szCs w:val="24"/>
        </w:rPr>
      </w:pPr>
    </w:p>
    <w:p w14:paraId="4D0555FB">
      <w:pPr>
        <w:pStyle w:val="3"/>
        <w:numPr>
          <w:ilvl w:val="0"/>
          <w:numId w:val="1"/>
        </w:numPr>
        <w:spacing w:before="120" w:after="120" w:line="360" w:lineRule="auto"/>
        <w:ind w:left="0" w:firstLine="0"/>
        <w:rPr>
          <w:rFonts w:ascii="宋体" w:hAnsi="宋体"/>
          <w:sz w:val="32"/>
          <w:szCs w:val="32"/>
        </w:rPr>
      </w:pPr>
      <w:r>
        <w:rPr>
          <w:rFonts w:hint="eastAsia" w:ascii="宋体" w:hAnsi="宋体"/>
          <w:sz w:val="32"/>
          <w:szCs w:val="32"/>
          <w:lang w:eastAsia="zh-CN"/>
        </w:rPr>
        <w:t>授权</w:t>
      </w:r>
      <w:r>
        <w:rPr>
          <w:rFonts w:hint="eastAsia" w:ascii="宋体" w:hAnsi="宋体"/>
          <w:sz w:val="32"/>
          <w:szCs w:val="32"/>
        </w:rPr>
        <w:t>产品清单</w:t>
      </w:r>
    </w:p>
    <w:tbl>
      <w:tblPr>
        <w:tblStyle w:val="13"/>
        <w:tblW w:w="9151" w:type="dxa"/>
        <w:jc w:val="center"/>
        <w:tblLayout w:type="fixed"/>
        <w:tblCellMar>
          <w:top w:w="0" w:type="dxa"/>
          <w:left w:w="30" w:type="dxa"/>
          <w:bottom w:w="0" w:type="dxa"/>
          <w:right w:w="30" w:type="dxa"/>
        </w:tblCellMar>
      </w:tblPr>
      <w:tblGrid>
        <w:gridCol w:w="1070"/>
        <w:gridCol w:w="2893"/>
        <w:gridCol w:w="3418"/>
        <w:gridCol w:w="875"/>
        <w:gridCol w:w="895"/>
      </w:tblGrid>
      <w:tr w14:paraId="585444D2">
        <w:tblPrEx>
          <w:tblCellMar>
            <w:top w:w="0" w:type="dxa"/>
            <w:left w:w="30" w:type="dxa"/>
            <w:bottom w:w="0" w:type="dxa"/>
            <w:right w:w="30" w:type="dxa"/>
          </w:tblCellMar>
        </w:tblPrEx>
        <w:trPr>
          <w:jc w:val="center"/>
        </w:trPr>
        <w:tc>
          <w:tcPr>
            <w:tcW w:w="1070" w:type="dxa"/>
            <w:tcBorders>
              <w:top w:val="single" w:color="auto" w:sz="6" w:space="0"/>
              <w:left w:val="single" w:color="auto" w:sz="6" w:space="0"/>
              <w:bottom w:val="single" w:color="auto" w:sz="6" w:space="0"/>
              <w:right w:val="single" w:color="auto" w:sz="6" w:space="0"/>
            </w:tcBorders>
          </w:tcPr>
          <w:p w14:paraId="60C05B05">
            <w:pPr>
              <w:autoSpaceDE w:val="0"/>
              <w:autoSpaceDN w:val="0"/>
              <w:adjustRightInd w:val="0"/>
              <w:spacing w:line="360" w:lineRule="auto"/>
              <w:ind w:left="0" w:firstLine="0"/>
              <w:jc w:val="center"/>
              <w:rPr>
                <w:rFonts w:ascii="宋体" w:hAnsi="宋体" w:cs="宋体"/>
                <w:b/>
                <w:bCs/>
                <w:color w:val="000000"/>
                <w:kern w:val="0"/>
                <w:sz w:val="22"/>
                <w:szCs w:val="22"/>
              </w:rPr>
            </w:pPr>
            <w:r>
              <w:rPr>
                <w:rFonts w:hint="eastAsia" w:ascii="宋体" w:hAnsi="宋体" w:cs="宋体"/>
                <w:b/>
                <w:bCs/>
                <w:color w:val="000000"/>
                <w:kern w:val="0"/>
                <w:sz w:val="22"/>
                <w:szCs w:val="22"/>
              </w:rPr>
              <w:t>序号</w:t>
            </w:r>
          </w:p>
        </w:tc>
        <w:tc>
          <w:tcPr>
            <w:tcW w:w="2893" w:type="dxa"/>
            <w:tcBorders>
              <w:top w:val="single" w:color="auto" w:sz="6" w:space="0"/>
              <w:left w:val="single" w:color="auto" w:sz="6" w:space="0"/>
              <w:bottom w:val="single" w:color="auto" w:sz="6" w:space="0"/>
              <w:right w:val="single" w:color="auto" w:sz="6" w:space="0"/>
            </w:tcBorders>
          </w:tcPr>
          <w:p w14:paraId="4E70AAAE">
            <w:pPr>
              <w:autoSpaceDE w:val="0"/>
              <w:autoSpaceDN w:val="0"/>
              <w:adjustRightInd w:val="0"/>
              <w:spacing w:line="360" w:lineRule="auto"/>
              <w:ind w:left="0" w:firstLine="0"/>
              <w:jc w:val="center"/>
              <w:rPr>
                <w:rFonts w:ascii="宋体" w:hAnsi="宋体" w:cs="宋体"/>
                <w:b/>
                <w:bCs/>
                <w:color w:val="000000"/>
                <w:kern w:val="0"/>
                <w:sz w:val="22"/>
                <w:szCs w:val="22"/>
              </w:rPr>
            </w:pPr>
            <w:r>
              <w:rPr>
                <w:rFonts w:hint="eastAsia" w:ascii="宋体" w:hAnsi="宋体" w:cs="宋体"/>
                <w:b/>
                <w:bCs/>
                <w:color w:val="000000"/>
                <w:kern w:val="0"/>
                <w:sz w:val="22"/>
                <w:szCs w:val="22"/>
              </w:rPr>
              <w:t>服务名称</w:t>
            </w:r>
          </w:p>
        </w:tc>
        <w:tc>
          <w:tcPr>
            <w:tcW w:w="3418" w:type="dxa"/>
            <w:tcBorders>
              <w:top w:val="single" w:color="auto" w:sz="6" w:space="0"/>
              <w:left w:val="single" w:color="auto" w:sz="6" w:space="0"/>
              <w:bottom w:val="single" w:color="auto" w:sz="6" w:space="0"/>
              <w:right w:val="single" w:color="auto" w:sz="6" w:space="0"/>
            </w:tcBorders>
          </w:tcPr>
          <w:p w14:paraId="5350A336">
            <w:pPr>
              <w:autoSpaceDE w:val="0"/>
              <w:autoSpaceDN w:val="0"/>
              <w:adjustRightInd w:val="0"/>
              <w:spacing w:line="360" w:lineRule="auto"/>
              <w:ind w:left="0" w:firstLine="0"/>
              <w:jc w:val="center"/>
              <w:rPr>
                <w:rFonts w:ascii="宋体" w:hAnsi="宋体" w:cs="宋体"/>
                <w:b/>
                <w:bCs/>
                <w:color w:val="000000"/>
                <w:kern w:val="0"/>
                <w:sz w:val="22"/>
                <w:szCs w:val="22"/>
              </w:rPr>
            </w:pPr>
            <w:r>
              <w:rPr>
                <w:rFonts w:hint="eastAsia" w:ascii="宋体" w:hAnsi="宋体" w:cs="宋体"/>
                <w:b/>
                <w:bCs/>
                <w:color w:val="000000"/>
                <w:kern w:val="0"/>
                <w:sz w:val="22"/>
                <w:szCs w:val="22"/>
              </w:rPr>
              <w:t>设备型号</w:t>
            </w:r>
          </w:p>
        </w:tc>
        <w:tc>
          <w:tcPr>
            <w:tcW w:w="875" w:type="dxa"/>
            <w:tcBorders>
              <w:top w:val="single" w:color="auto" w:sz="6" w:space="0"/>
              <w:left w:val="single" w:color="auto" w:sz="6" w:space="0"/>
              <w:bottom w:val="single" w:color="auto" w:sz="6" w:space="0"/>
              <w:right w:val="single" w:color="auto" w:sz="6" w:space="0"/>
            </w:tcBorders>
          </w:tcPr>
          <w:p w14:paraId="5A204ED1">
            <w:pPr>
              <w:autoSpaceDE w:val="0"/>
              <w:autoSpaceDN w:val="0"/>
              <w:adjustRightInd w:val="0"/>
              <w:spacing w:line="360" w:lineRule="auto"/>
              <w:ind w:left="0" w:firstLine="0"/>
              <w:jc w:val="center"/>
              <w:rPr>
                <w:rFonts w:ascii="宋体" w:hAnsi="宋体" w:cs="宋体"/>
                <w:b/>
                <w:bCs/>
                <w:color w:val="000000"/>
                <w:kern w:val="0"/>
                <w:sz w:val="22"/>
                <w:szCs w:val="22"/>
              </w:rPr>
            </w:pPr>
            <w:r>
              <w:rPr>
                <w:rFonts w:hint="eastAsia" w:ascii="宋体" w:hAnsi="宋体" w:cs="宋体"/>
                <w:b/>
                <w:bCs/>
                <w:color w:val="000000"/>
                <w:kern w:val="0"/>
                <w:sz w:val="22"/>
                <w:szCs w:val="22"/>
              </w:rPr>
              <w:t>数量</w:t>
            </w:r>
          </w:p>
        </w:tc>
        <w:tc>
          <w:tcPr>
            <w:tcW w:w="895" w:type="dxa"/>
            <w:tcBorders>
              <w:top w:val="single" w:color="auto" w:sz="6" w:space="0"/>
              <w:left w:val="single" w:color="auto" w:sz="6" w:space="0"/>
              <w:bottom w:val="single" w:color="auto" w:sz="6" w:space="0"/>
              <w:right w:val="single" w:color="auto" w:sz="6" w:space="0"/>
            </w:tcBorders>
          </w:tcPr>
          <w:p w14:paraId="247C8703">
            <w:pPr>
              <w:autoSpaceDE w:val="0"/>
              <w:autoSpaceDN w:val="0"/>
              <w:adjustRightInd w:val="0"/>
              <w:spacing w:line="360" w:lineRule="auto"/>
              <w:ind w:left="0" w:firstLine="0"/>
              <w:jc w:val="center"/>
              <w:rPr>
                <w:rFonts w:ascii="宋体" w:hAnsi="宋体" w:cs="宋体"/>
                <w:b/>
                <w:bCs/>
                <w:color w:val="000000"/>
                <w:kern w:val="0"/>
                <w:sz w:val="22"/>
                <w:szCs w:val="22"/>
              </w:rPr>
            </w:pPr>
            <w:r>
              <w:rPr>
                <w:rFonts w:hint="eastAsia" w:ascii="宋体" w:hAnsi="宋体" w:cs="宋体"/>
                <w:b/>
                <w:bCs/>
                <w:color w:val="000000"/>
                <w:kern w:val="0"/>
                <w:sz w:val="22"/>
                <w:szCs w:val="22"/>
              </w:rPr>
              <w:t>单位</w:t>
            </w:r>
          </w:p>
        </w:tc>
      </w:tr>
      <w:tr w14:paraId="71DC9CE3">
        <w:tblPrEx>
          <w:tblCellMar>
            <w:top w:w="0" w:type="dxa"/>
            <w:left w:w="30" w:type="dxa"/>
            <w:bottom w:w="0" w:type="dxa"/>
            <w:right w:w="30" w:type="dxa"/>
          </w:tblCellMar>
        </w:tblPrEx>
        <w:trPr>
          <w:jc w:val="center"/>
        </w:trPr>
        <w:tc>
          <w:tcPr>
            <w:tcW w:w="1070" w:type="dxa"/>
            <w:tcBorders>
              <w:top w:val="single" w:color="auto" w:sz="6" w:space="0"/>
              <w:left w:val="single" w:color="auto" w:sz="6" w:space="0"/>
              <w:bottom w:val="single" w:color="auto" w:sz="6" w:space="0"/>
              <w:right w:val="single" w:color="auto" w:sz="6" w:space="0"/>
            </w:tcBorders>
          </w:tcPr>
          <w:p w14:paraId="33E1181D">
            <w:pPr>
              <w:autoSpaceDE w:val="0"/>
              <w:autoSpaceDN w:val="0"/>
              <w:adjustRightInd w:val="0"/>
              <w:spacing w:line="360" w:lineRule="auto"/>
              <w:ind w:left="0" w:firstLine="0"/>
              <w:jc w:val="center"/>
              <w:rPr>
                <w:rFonts w:ascii="宋体" w:hAnsi="宋体" w:cs="宋体"/>
                <w:color w:val="000000"/>
                <w:kern w:val="0"/>
                <w:sz w:val="22"/>
                <w:szCs w:val="22"/>
              </w:rPr>
            </w:pPr>
            <w:r>
              <w:rPr>
                <w:rFonts w:ascii="宋体" w:hAnsi="宋体" w:cs="宋体"/>
                <w:color w:val="000000"/>
                <w:kern w:val="0"/>
                <w:sz w:val="22"/>
                <w:szCs w:val="22"/>
              </w:rPr>
              <w:t>1</w:t>
            </w:r>
          </w:p>
        </w:tc>
        <w:tc>
          <w:tcPr>
            <w:tcW w:w="2893" w:type="dxa"/>
            <w:tcBorders>
              <w:top w:val="single" w:color="auto" w:sz="6" w:space="0"/>
              <w:left w:val="single" w:color="auto" w:sz="6" w:space="0"/>
              <w:bottom w:val="single" w:color="auto" w:sz="6" w:space="0"/>
              <w:right w:val="single" w:color="auto" w:sz="6" w:space="0"/>
            </w:tcBorders>
          </w:tcPr>
          <w:p w14:paraId="5D66D29F">
            <w:pPr>
              <w:autoSpaceDE w:val="0"/>
              <w:autoSpaceDN w:val="0"/>
              <w:adjustRightInd w:val="0"/>
              <w:spacing w:line="360" w:lineRule="auto"/>
              <w:ind w:left="0" w:firstLine="0"/>
              <w:jc w:val="left"/>
              <w:rPr>
                <w:rFonts w:ascii="宋体" w:hAnsi="宋体" w:cs="宋体"/>
                <w:color w:val="000000"/>
                <w:kern w:val="0"/>
                <w:sz w:val="22"/>
                <w:szCs w:val="22"/>
              </w:rPr>
            </w:pPr>
            <w:r>
              <w:rPr>
                <w:rFonts w:hint="eastAsia" w:ascii="宋体" w:hAnsi="宋体" w:cs="宋体"/>
                <w:color w:val="000000"/>
                <w:kern w:val="0"/>
                <w:sz w:val="22"/>
                <w:szCs w:val="22"/>
              </w:rPr>
              <w:t>防火墙续服</w:t>
            </w:r>
          </w:p>
        </w:tc>
        <w:tc>
          <w:tcPr>
            <w:tcW w:w="3418" w:type="dxa"/>
            <w:tcBorders>
              <w:top w:val="single" w:color="auto" w:sz="6" w:space="0"/>
              <w:left w:val="single" w:color="auto" w:sz="6" w:space="0"/>
              <w:bottom w:val="single" w:color="auto" w:sz="6" w:space="0"/>
              <w:right w:val="single" w:color="auto" w:sz="6" w:space="0"/>
            </w:tcBorders>
          </w:tcPr>
          <w:p w14:paraId="4CAAFF8B">
            <w:pPr>
              <w:autoSpaceDE w:val="0"/>
              <w:autoSpaceDN w:val="0"/>
              <w:adjustRightInd w:val="0"/>
              <w:spacing w:line="360" w:lineRule="auto"/>
              <w:ind w:left="0" w:firstLine="0"/>
              <w:jc w:val="center"/>
              <w:rPr>
                <w:rFonts w:ascii="宋体" w:hAnsi="宋体" w:cs="宋体"/>
                <w:color w:val="000000"/>
                <w:kern w:val="0"/>
                <w:sz w:val="22"/>
                <w:szCs w:val="22"/>
              </w:rPr>
            </w:pPr>
            <w:bookmarkStart w:id="0" w:name="OLE_LINK24"/>
            <w:r>
              <w:rPr>
                <w:rFonts w:hint="eastAsia" w:ascii="宋体" w:hAnsi="宋体" w:cs="宋体"/>
                <w:color w:val="000000"/>
                <w:kern w:val="0"/>
                <w:sz w:val="22"/>
                <w:szCs w:val="22"/>
              </w:rPr>
              <w:t>锐捷</w:t>
            </w:r>
            <w:r>
              <w:rPr>
                <w:rFonts w:ascii="宋体" w:hAnsi="宋体" w:cs="宋体"/>
                <w:color w:val="000000"/>
                <w:kern w:val="0"/>
                <w:sz w:val="22"/>
                <w:szCs w:val="22"/>
              </w:rPr>
              <w:t xml:space="preserve"> </w:t>
            </w:r>
            <w:bookmarkStart w:id="1" w:name="OLE_LINK23"/>
            <w:r>
              <w:rPr>
                <w:rFonts w:ascii="宋体" w:hAnsi="宋体" w:cs="宋体"/>
                <w:color w:val="000000"/>
                <w:kern w:val="0"/>
                <w:sz w:val="22"/>
                <w:szCs w:val="22"/>
              </w:rPr>
              <w:t>RG-WALL1600-M5800E</w:t>
            </w:r>
            <w:bookmarkEnd w:id="0"/>
            <w:bookmarkEnd w:id="1"/>
          </w:p>
        </w:tc>
        <w:tc>
          <w:tcPr>
            <w:tcW w:w="875" w:type="dxa"/>
            <w:tcBorders>
              <w:top w:val="single" w:color="auto" w:sz="6" w:space="0"/>
              <w:left w:val="single" w:color="auto" w:sz="6" w:space="0"/>
              <w:bottom w:val="single" w:color="auto" w:sz="6" w:space="0"/>
              <w:right w:val="single" w:color="auto" w:sz="6" w:space="0"/>
            </w:tcBorders>
          </w:tcPr>
          <w:p w14:paraId="447BFAA8">
            <w:pPr>
              <w:autoSpaceDE w:val="0"/>
              <w:autoSpaceDN w:val="0"/>
              <w:adjustRightInd w:val="0"/>
              <w:spacing w:line="360" w:lineRule="auto"/>
              <w:ind w:left="0" w:firstLine="0"/>
              <w:jc w:val="center"/>
              <w:rPr>
                <w:rFonts w:ascii="宋体" w:hAnsi="宋体" w:cs="宋体"/>
                <w:color w:val="000000"/>
                <w:kern w:val="0"/>
                <w:sz w:val="22"/>
                <w:szCs w:val="22"/>
              </w:rPr>
            </w:pPr>
            <w:r>
              <w:rPr>
                <w:rFonts w:ascii="宋体" w:hAnsi="宋体" w:cs="宋体"/>
                <w:color w:val="000000"/>
                <w:kern w:val="0"/>
                <w:sz w:val="22"/>
                <w:szCs w:val="22"/>
              </w:rPr>
              <w:t>2</w:t>
            </w:r>
          </w:p>
        </w:tc>
        <w:tc>
          <w:tcPr>
            <w:tcW w:w="895" w:type="dxa"/>
            <w:tcBorders>
              <w:top w:val="single" w:color="auto" w:sz="6" w:space="0"/>
              <w:left w:val="single" w:color="auto" w:sz="6" w:space="0"/>
              <w:bottom w:val="single" w:color="auto" w:sz="6" w:space="0"/>
              <w:right w:val="single" w:color="auto" w:sz="6" w:space="0"/>
            </w:tcBorders>
          </w:tcPr>
          <w:p w14:paraId="634BE6A8">
            <w:pPr>
              <w:autoSpaceDE w:val="0"/>
              <w:autoSpaceDN w:val="0"/>
              <w:adjustRightInd w:val="0"/>
              <w:spacing w:line="360" w:lineRule="auto"/>
              <w:ind w:left="0" w:firstLine="0"/>
              <w:jc w:val="center"/>
              <w:rPr>
                <w:rFonts w:ascii="宋体" w:hAnsi="宋体" w:cs="宋体"/>
                <w:color w:val="000000"/>
                <w:kern w:val="0"/>
                <w:sz w:val="22"/>
                <w:szCs w:val="22"/>
              </w:rPr>
            </w:pPr>
            <w:r>
              <w:rPr>
                <w:rFonts w:hint="eastAsia" w:ascii="宋体" w:hAnsi="宋体" w:cs="宋体"/>
                <w:color w:val="000000"/>
                <w:kern w:val="0"/>
                <w:sz w:val="22"/>
                <w:szCs w:val="22"/>
              </w:rPr>
              <w:t>台</w:t>
            </w:r>
          </w:p>
        </w:tc>
      </w:tr>
      <w:tr w14:paraId="3439C130">
        <w:tblPrEx>
          <w:tblCellMar>
            <w:top w:w="0" w:type="dxa"/>
            <w:left w:w="30" w:type="dxa"/>
            <w:bottom w:w="0" w:type="dxa"/>
            <w:right w:w="30" w:type="dxa"/>
          </w:tblCellMar>
        </w:tblPrEx>
        <w:trPr>
          <w:jc w:val="center"/>
        </w:trPr>
        <w:tc>
          <w:tcPr>
            <w:tcW w:w="1070" w:type="dxa"/>
            <w:tcBorders>
              <w:top w:val="single" w:color="auto" w:sz="6" w:space="0"/>
              <w:left w:val="single" w:color="auto" w:sz="6" w:space="0"/>
              <w:bottom w:val="single" w:color="auto" w:sz="6" w:space="0"/>
              <w:right w:val="single" w:color="auto" w:sz="6" w:space="0"/>
            </w:tcBorders>
          </w:tcPr>
          <w:p w14:paraId="2493C0C3">
            <w:pPr>
              <w:autoSpaceDE w:val="0"/>
              <w:autoSpaceDN w:val="0"/>
              <w:adjustRightInd w:val="0"/>
              <w:spacing w:line="360" w:lineRule="auto"/>
              <w:ind w:left="0" w:firstLine="0"/>
              <w:jc w:val="center"/>
              <w:rPr>
                <w:rFonts w:ascii="宋体" w:hAnsi="宋体" w:cs="宋体"/>
                <w:color w:val="000000"/>
                <w:kern w:val="0"/>
                <w:sz w:val="22"/>
                <w:szCs w:val="22"/>
              </w:rPr>
            </w:pPr>
            <w:r>
              <w:rPr>
                <w:rFonts w:ascii="宋体" w:hAnsi="宋体" w:cs="宋体"/>
                <w:color w:val="000000"/>
                <w:kern w:val="0"/>
                <w:sz w:val="22"/>
                <w:szCs w:val="22"/>
              </w:rPr>
              <w:t>2</w:t>
            </w:r>
          </w:p>
        </w:tc>
        <w:tc>
          <w:tcPr>
            <w:tcW w:w="2893" w:type="dxa"/>
            <w:tcBorders>
              <w:top w:val="single" w:color="auto" w:sz="6" w:space="0"/>
              <w:left w:val="single" w:color="auto" w:sz="6" w:space="0"/>
              <w:bottom w:val="single" w:color="auto" w:sz="6" w:space="0"/>
              <w:right w:val="single" w:color="auto" w:sz="6" w:space="0"/>
            </w:tcBorders>
          </w:tcPr>
          <w:p w14:paraId="5356B8FA">
            <w:pPr>
              <w:autoSpaceDE w:val="0"/>
              <w:autoSpaceDN w:val="0"/>
              <w:adjustRightInd w:val="0"/>
              <w:spacing w:line="360" w:lineRule="auto"/>
              <w:ind w:left="0" w:firstLine="0"/>
              <w:jc w:val="left"/>
              <w:rPr>
                <w:rFonts w:ascii="宋体" w:hAnsi="宋体" w:cs="宋体"/>
                <w:color w:val="000000"/>
                <w:kern w:val="0"/>
                <w:sz w:val="22"/>
                <w:szCs w:val="22"/>
              </w:rPr>
            </w:pPr>
            <w:r>
              <w:rPr>
                <w:rFonts w:ascii="宋体" w:hAnsi="宋体" w:cs="宋体"/>
                <w:color w:val="000000"/>
                <w:kern w:val="0"/>
                <w:sz w:val="22"/>
                <w:szCs w:val="22"/>
              </w:rPr>
              <w:t>WEB</w:t>
            </w:r>
            <w:r>
              <w:rPr>
                <w:rFonts w:hint="eastAsia" w:ascii="宋体" w:hAnsi="宋体" w:cs="宋体"/>
                <w:color w:val="000000"/>
                <w:kern w:val="0"/>
                <w:sz w:val="22"/>
                <w:szCs w:val="22"/>
              </w:rPr>
              <w:t>应用防火墙续服</w:t>
            </w:r>
          </w:p>
        </w:tc>
        <w:tc>
          <w:tcPr>
            <w:tcW w:w="3418" w:type="dxa"/>
            <w:tcBorders>
              <w:top w:val="single" w:color="auto" w:sz="6" w:space="0"/>
              <w:left w:val="single" w:color="auto" w:sz="6" w:space="0"/>
              <w:bottom w:val="single" w:color="auto" w:sz="6" w:space="0"/>
              <w:right w:val="single" w:color="auto" w:sz="6" w:space="0"/>
            </w:tcBorders>
          </w:tcPr>
          <w:p w14:paraId="41033B3E">
            <w:pPr>
              <w:autoSpaceDE w:val="0"/>
              <w:autoSpaceDN w:val="0"/>
              <w:adjustRightInd w:val="0"/>
              <w:spacing w:line="360" w:lineRule="auto"/>
              <w:ind w:left="0" w:firstLine="0"/>
              <w:jc w:val="center"/>
              <w:rPr>
                <w:rFonts w:ascii="宋体" w:hAnsi="宋体" w:cs="宋体"/>
                <w:color w:val="000000"/>
                <w:kern w:val="0"/>
                <w:sz w:val="22"/>
                <w:szCs w:val="22"/>
              </w:rPr>
            </w:pPr>
            <w:bookmarkStart w:id="2" w:name="OLE_LINK25"/>
            <w:r>
              <w:rPr>
                <w:rFonts w:hint="eastAsia" w:ascii="宋体" w:hAnsi="宋体" w:cs="宋体"/>
                <w:color w:val="000000"/>
                <w:kern w:val="0"/>
                <w:sz w:val="22"/>
                <w:szCs w:val="22"/>
              </w:rPr>
              <w:t>锐捷</w:t>
            </w:r>
            <w:r>
              <w:rPr>
                <w:rFonts w:ascii="宋体" w:hAnsi="宋体" w:cs="宋体"/>
                <w:color w:val="000000"/>
                <w:kern w:val="0"/>
                <w:sz w:val="22"/>
                <w:szCs w:val="22"/>
              </w:rPr>
              <w:t xml:space="preserve"> RG-WG-E</w:t>
            </w:r>
            <w:bookmarkEnd w:id="2"/>
          </w:p>
        </w:tc>
        <w:tc>
          <w:tcPr>
            <w:tcW w:w="875" w:type="dxa"/>
            <w:tcBorders>
              <w:top w:val="single" w:color="auto" w:sz="6" w:space="0"/>
              <w:left w:val="single" w:color="auto" w:sz="6" w:space="0"/>
              <w:bottom w:val="single" w:color="auto" w:sz="6" w:space="0"/>
              <w:right w:val="single" w:color="auto" w:sz="6" w:space="0"/>
            </w:tcBorders>
          </w:tcPr>
          <w:p w14:paraId="34048CFF">
            <w:pPr>
              <w:autoSpaceDE w:val="0"/>
              <w:autoSpaceDN w:val="0"/>
              <w:adjustRightInd w:val="0"/>
              <w:spacing w:line="360" w:lineRule="auto"/>
              <w:ind w:left="0" w:firstLine="0"/>
              <w:jc w:val="center"/>
              <w:rPr>
                <w:rFonts w:ascii="宋体" w:hAnsi="宋体" w:cs="宋体"/>
                <w:color w:val="000000"/>
                <w:kern w:val="0"/>
                <w:sz w:val="22"/>
                <w:szCs w:val="22"/>
              </w:rPr>
            </w:pPr>
            <w:r>
              <w:rPr>
                <w:rFonts w:ascii="宋体" w:hAnsi="宋体" w:cs="宋体"/>
                <w:color w:val="000000"/>
                <w:kern w:val="0"/>
                <w:sz w:val="22"/>
                <w:szCs w:val="22"/>
              </w:rPr>
              <w:t>1</w:t>
            </w:r>
          </w:p>
        </w:tc>
        <w:tc>
          <w:tcPr>
            <w:tcW w:w="895" w:type="dxa"/>
            <w:tcBorders>
              <w:top w:val="single" w:color="auto" w:sz="6" w:space="0"/>
              <w:left w:val="single" w:color="auto" w:sz="6" w:space="0"/>
              <w:bottom w:val="single" w:color="auto" w:sz="6" w:space="0"/>
              <w:right w:val="single" w:color="auto" w:sz="6" w:space="0"/>
            </w:tcBorders>
          </w:tcPr>
          <w:p w14:paraId="2DA1D373">
            <w:pPr>
              <w:autoSpaceDE w:val="0"/>
              <w:autoSpaceDN w:val="0"/>
              <w:adjustRightInd w:val="0"/>
              <w:spacing w:line="360" w:lineRule="auto"/>
              <w:ind w:left="0" w:firstLine="0"/>
              <w:jc w:val="center"/>
              <w:rPr>
                <w:rFonts w:ascii="宋体" w:hAnsi="宋体" w:cs="宋体"/>
                <w:color w:val="000000"/>
                <w:kern w:val="0"/>
                <w:sz w:val="22"/>
                <w:szCs w:val="22"/>
              </w:rPr>
            </w:pPr>
            <w:r>
              <w:rPr>
                <w:rFonts w:hint="eastAsia" w:ascii="宋体" w:hAnsi="宋体" w:cs="宋体"/>
                <w:color w:val="000000"/>
                <w:kern w:val="0"/>
                <w:sz w:val="22"/>
                <w:szCs w:val="22"/>
              </w:rPr>
              <w:t>台</w:t>
            </w:r>
          </w:p>
        </w:tc>
      </w:tr>
      <w:tr w14:paraId="08B11AE8">
        <w:tblPrEx>
          <w:tblCellMar>
            <w:top w:w="0" w:type="dxa"/>
            <w:left w:w="30" w:type="dxa"/>
            <w:bottom w:w="0" w:type="dxa"/>
            <w:right w:w="30" w:type="dxa"/>
          </w:tblCellMar>
        </w:tblPrEx>
        <w:trPr>
          <w:jc w:val="center"/>
        </w:trPr>
        <w:tc>
          <w:tcPr>
            <w:tcW w:w="1070" w:type="dxa"/>
            <w:tcBorders>
              <w:top w:val="single" w:color="auto" w:sz="6" w:space="0"/>
              <w:left w:val="single" w:color="auto" w:sz="6" w:space="0"/>
              <w:bottom w:val="single" w:color="auto" w:sz="6" w:space="0"/>
              <w:right w:val="single" w:color="auto" w:sz="6" w:space="0"/>
            </w:tcBorders>
          </w:tcPr>
          <w:p w14:paraId="377B92D9">
            <w:pPr>
              <w:autoSpaceDE w:val="0"/>
              <w:autoSpaceDN w:val="0"/>
              <w:adjustRightInd w:val="0"/>
              <w:spacing w:line="360" w:lineRule="auto"/>
              <w:ind w:left="0" w:firstLine="0"/>
              <w:jc w:val="center"/>
              <w:rPr>
                <w:rFonts w:ascii="宋体" w:hAnsi="宋体" w:cs="宋体"/>
                <w:color w:val="000000"/>
                <w:kern w:val="0"/>
                <w:sz w:val="22"/>
                <w:szCs w:val="22"/>
              </w:rPr>
            </w:pPr>
            <w:r>
              <w:rPr>
                <w:rFonts w:ascii="宋体" w:hAnsi="宋体" w:cs="宋体"/>
                <w:color w:val="000000"/>
                <w:kern w:val="0"/>
                <w:sz w:val="22"/>
                <w:szCs w:val="22"/>
              </w:rPr>
              <w:t>3</w:t>
            </w:r>
          </w:p>
        </w:tc>
        <w:tc>
          <w:tcPr>
            <w:tcW w:w="2893" w:type="dxa"/>
            <w:tcBorders>
              <w:top w:val="single" w:color="auto" w:sz="6" w:space="0"/>
              <w:left w:val="single" w:color="auto" w:sz="6" w:space="0"/>
              <w:bottom w:val="single" w:color="auto" w:sz="6" w:space="0"/>
              <w:right w:val="single" w:color="auto" w:sz="6" w:space="0"/>
            </w:tcBorders>
          </w:tcPr>
          <w:p w14:paraId="1ABD5558">
            <w:pPr>
              <w:autoSpaceDE w:val="0"/>
              <w:autoSpaceDN w:val="0"/>
              <w:adjustRightInd w:val="0"/>
              <w:spacing w:line="360" w:lineRule="auto"/>
              <w:ind w:left="0" w:firstLine="0"/>
              <w:jc w:val="left"/>
              <w:rPr>
                <w:rFonts w:ascii="宋体" w:hAnsi="宋体" w:cs="宋体"/>
                <w:color w:val="000000"/>
                <w:kern w:val="0"/>
                <w:sz w:val="22"/>
                <w:szCs w:val="22"/>
              </w:rPr>
            </w:pPr>
            <w:r>
              <w:rPr>
                <w:rFonts w:hint="eastAsia" w:ascii="宋体" w:hAnsi="宋体" w:cs="宋体"/>
                <w:color w:val="000000"/>
                <w:kern w:val="0"/>
                <w:sz w:val="22"/>
                <w:szCs w:val="22"/>
              </w:rPr>
              <w:t>入侵防御检测系统续服</w:t>
            </w:r>
          </w:p>
        </w:tc>
        <w:tc>
          <w:tcPr>
            <w:tcW w:w="3418" w:type="dxa"/>
            <w:tcBorders>
              <w:top w:val="single" w:color="auto" w:sz="6" w:space="0"/>
              <w:left w:val="single" w:color="auto" w:sz="6" w:space="0"/>
              <w:bottom w:val="single" w:color="auto" w:sz="6" w:space="0"/>
              <w:right w:val="single" w:color="auto" w:sz="6" w:space="0"/>
            </w:tcBorders>
          </w:tcPr>
          <w:p w14:paraId="6C7FC185">
            <w:pPr>
              <w:autoSpaceDE w:val="0"/>
              <w:autoSpaceDN w:val="0"/>
              <w:adjustRightInd w:val="0"/>
              <w:spacing w:line="360" w:lineRule="auto"/>
              <w:ind w:left="0" w:firstLine="0"/>
              <w:jc w:val="center"/>
              <w:rPr>
                <w:rFonts w:ascii="宋体" w:hAnsi="宋体" w:cs="宋体"/>
                <w:color w:val="000000"/>
                <w:kern w:val="0"/>
                <w:sz w:val="22"/>
                <w:szCs w:val="22"/>
              </w:rPr>
            </w:pPr>
            <w:bookmarkStart w:id="3" w:name="OLE_LINK26"/>
            <w:r>
              <w:rPr>
                <w:rFonts w:hint="eastAsia" w:ascii="宋体" w:hAnsi="宋体" w:cs="宋体"/>
                <w:color w:val="000000"/>
                <w:kern w:val="0"/>
                <w:sz w:val="22"/>
                <w:szCs w:val="22"/>
              </w:rPr>
              <w:t>锐捷</w:t>
            </w:r>
            <w:r>
              <w:rPr>
                <w:rFonts w:ascii="宋体" w:hAnsi="宋体" w:cs="宋体"/>
                <w:color w:val="000000"/>
                <w:kern w:val="0"/>
                <w:sz w:val="22"/>
                <w:szCs w:val="22"/>
              </w:rPr>
              <w:t xml:space="preserve"> RG-IDP 1000E W2.0</w:t>
            </w:r>
            <w:bookmarkEnd w:id="3"/>
          </w:p>
        </w:tc>
        <w:tc>
          <w:tcPr>
            <w:tcW w:w="875" w:type="dxa"/>
            <w:tcBorders>
              <w:top w:val="single" w:color="auto" w:sz="6" w:space="0"/>
              <w:left w:val="single" w:color="auto" w:sz="6" w:space="0"/>
              <w:bottom w:val="single" w:color="auto" w:sz="6" w:space="0"/>
              <w:right w:val="single" w:color="auto" w:sz="6" w:space="0"/>
            </w:tcBorders>
          </w:tcPr>
          <w:p w14:paraId="0563134A">
            <w:pPr>
              <w:autoSpaceDE w:val="0"/>
              <w:autoSpaceDN w:val="0"/>
              <w:adjustRightInd w:val="0"/>
              <w:spacing w:line="360" w:lineRule="auto"/>
              <w:ind w:left="0" w:firstLine="0"/>
              <w:jc w:val="center"/>
              <w:rPr>
                <w:rFonts w:ascii="宋体" w:hAnsi="宋体" w:cs="宋体"/>
                <w:color w:val="000000"/>
                <w:kern w:val="0"/>
                <w:sz w:val="22"/>
                <w:szCs w:val="22"/>
              </w:rPr>
            </w:pPr>
            <w:r>
              <w:rPr>
                <w:rFonts w:ascii="宋体" w:hAnsi="宋体" w:cs="宋体"/>
                <w:color w:val="000000"/>
                <w:kern w:val="0"/>
                <w:sz w:val="22"/>
                <w:szCs w:val="22"/>
              </w:rPr>
              <w:t>1</w:t>
            </w:r>
          </w:p>
        </w:tc>
        <w:tc>
          <w:tcPr>
            <w:tcW w:w="895" w:type="dxa"/>
            <w:tcBorders>
              <w:top w:val="single" w:color="auto" w:sz="6" w:space="0"/>
              <w:left w:val="single" w:color="auto" w:sz="6" w:space="0"/>
              <w:bottom w:val="single" w:color="auto" w:sz="6" w:space="0"/>
              <w:right w:val="single" w:color="auto" w:sz="6" w:space="0"/>
            </w:tcBorders>
          </w:tcPr>
          <w:p w14:paraId="44E7B900">
            <w:pPr>
              <w:autoSpaceDE w:val="0"/>
              <w:autoSpaceDN w:val="0"/>
              <w:adjustRightInd w:val="0"/>
              <w:spacing w:line="360" w:lineRule="auto"/>
              <w:ind w:left="0" w:firstLine="0"/>
              <w:jc w:val="center"/>
              <w:rPr>
                <w:rFonts w:ascii="宋体" w:hAnsi="宋体" w:cs="宋体"/>
                <w:color w:val="000000"/>
                <w:kern w:val="0"/>
                <w:sz w:val="22"/>
                <w:szCs w:val="22"/>
              </w:rPr>
            </w:pPr>
            <w:r>
              <w:rPr>
                <w:rFonts w:hint="eastAsia" w:ascii="宋体" w:hAnsi="宋体" w:cs="宋体"/>
                <w:color w:val="000000"/>
                <w:kern w:val="0"/>
                <w:sz w:val="22"/>
                <w:szCs w:val="22"/>
              </w:rPr>
              <w:t>台</w:t>
            </w:r>
          </w:p>
        </w:tc>
      </w:tr>
      <w:tr w14:paraId="6B696CB1">
        <w:tblPrEx>
          <w:tblCellMar>
            <w:top w:w="0" w:type="dxa"/>
            <w:left w:w="30" w:type="dxa"/>
            <w:bottom w:w="0" w:type="dxa"/>
            <w:right w:w="30" w:type="dxa"/>
          </w:tblCellMar>
        </w:tblPrEx>
        <w:trPr>
          <w:jc w:val="center"/>
        </w:trPr>
        <w:tc>
          <w:tcPr>
            <w:tcW w:w="1070" w:type="dxa"/>
            <w:tcBorders>
              <w:top w:val="single" w:color="auto" w:sz="6" w:space="0"/>
              <w:left w:val="single" w:color="auto" w:sz="6" w:space="0"/>
              <w:bottom w:val="single" w:color="auto" w:sz="6" w:space="0"/>
              <w:right w:val="single" w:color="auto" w:sz="6" w:space="0"/>
            </w:tcBorders>
          </w:tcPr>
          <w:p w14:paraId="0D61EAF6">
            <w:pPr>
              <w:autoSpaceDE w:val="0"/>
              <w:autoSpaceDN w:val="0"/>
              <w:adjustRightInd w:val="0"/>
              <w:spacing w:line="360" w:lineRule="auto"/>
              <w:ind w:left="0" w:firstLine="0"/>
              <w:jc w:val="center"/>
              <w:rPr>
                <w:rFonts w:ascii="宋体" w:hAnsi="宋体" w:cs="宋体"/>
                <w:color w:val="000000"/>
                <w:kern w:val="0"/>
                <w:sz w:val="22"/>
                <w:szCs w:val="22"/>
              </w:rPr>
            </w:pPr>
            <w:r>
              <w:rPr>
                <w:rFonts w:ascii="宋体" w:hAnsi="宋体" w:cs="宋体"/>
                <w:color w:val="000000"/>
                <w:kern w:val="0"/>
                <w:sz w:val="22"/>
                <w:szCs w:val="22"/>
              </w:rPr>
              <w:t>4</w:t>
            </w:r>
          </w:p>
        </w:tc>
        <w:tc>
          <w:tcPr>
            <w:tcW w:w="2893" w:type="dxa"/>
            <w:tcBorders>
              <w:top w:val="single" w:color="auto" w:sz="6" w:space="0"/>
              <w:left w:val="single" w:color="auto" w:sz="6" w:space="0"/>
              <w:bottom w:val="single" w:color="auto" w:sz="6" w:space="0"/>
              <w:right w:val="single" w:color="auto" w:sz="6" w:space="0"/>
            </w:tcBorders>
          </w:tcPr>
          <w:p w14:paraId="007F8715">
            <w:pPr>
              <w:autoSpaceDE w:val="0"/>
              <w:autoSpaceDN w:val="0"/>
              <w:adjustRightInd w:val="0"/>
              <w:spacing w:line="360" w:lineRule="auto"/>
              <w:ind w:left="0" w:firstLine="0"/>
              <w:jc w:val="left"/>
              <w:rPr>
                <w:rFonts w:ascii="宋体" w:hAnsi="宋体" w:cs="宋体"/>
                <w:color w:val="000000"/>
                <w:kern w:val="0"/>
                <w:sz w:val="22"/>
                <w:szCs w:val="22"/>
              </w:rPr>
            </w:pPr>
            <w:r>
              <w:rPr>
                <w:rFonts w:hint="eastAsia" w:ascii="宋体" w:hAnsi="宋体" w:cs="宋体"/>
                <w:color w:val="000000"/>
                <w:kern w:val="0"/>
                <w:sz w:val="22"/>
                <w:szCs w:val="22"/>
              </w:rPr>
              <w:t>上网行为审计续服</w:t>
            </w:r>
          </w:p>
        </w:tc>
        <w:tc>
          <w:tcPr>
            <w:tcW w:w="3418" w:type="dxa"/>
            <w:tcBorders>
              <w:top w:val="single" w:color="auto" w:sz="6" w:space="0"/>
              <w:left w:val="single" w:color="auto" w:sz="6" w:space="0"/>
              <w:bottom w:val="single" w:color="auto" w:sz="6" w:space="0"/>
              <w:right w:val="single" w:color="auto" w:sz="6" w:space="0"/>
            </w:tcBorders>
          </w:tcPr>
          <w:p w14:paraId="376DEE72">
            <w:pPr>
              <w:autoSpaceDE w:val="0"/>
              <w:autoSpaceDN w:val="0"/>
              <w:adjustRightInd w:val="0"/>
              <w:spacing w:line="360" w:lineRule="auto"/>
              <w:ind w:left="0" w:firstLine="0"/>
              <w:jc w:val="center"/>
              <w:rPr>
                <w:rFonts w:ascii="宋体" w:hAnsi="宋体" w:cs="宋体"/>
                <w:color w:val="000000"/>
                <w:kern w:val="0"/>
                <w:sz w:val="22"/>
                <w:szCs w:val="22"/>
              </w:rPr>
            </w:pPr>
            <w:bookmarkStart w:id="4" w:name="OLE_LINK27"/>
            <w:r>
              <w:rPr>
                <w:rFonts w:hint="eastAsia" w:ascii="宋体" w:hAnsi="宋体" w:cs="宋体"/>
                <w:color w:val="000000"/>
                <w:kern w:val="0"/>
                <w:sz w:val="22"/>
                <w:szCs w:val="22"/>
              </w:rPr>
              <w:t>锐捷</w:t>
            </w:r>
            <w:r>
              <w:rPr>
                <w:rFonts w:ascii="宋体" w:hAnsi="宋体" w:cs="宋体"/>
                <w:color w:val="000000"/>
                <w:kern w:val="0"/>
                <w:sz w:val="22"/>
                <w:szCs w:val="22"/>
              </w:rPr>
              <w:t>RG-UAC 6000-E50M</w:t>
            </w:r>
            <w:bookmarkEnd w:id="4"/>
          </w:p>
        </w:tc>
        <w:tc>
          <w:tcPr>
            <w:tcW w:w="875" w:type="dxa"/>
            <w:tcBorders>
              <w:top w:val="single" w:color="auto" w:sz="6" w:space="0"/>
              <w:left w:val="single" w:color="auto" w:sz="6" w:space="0"/>
              <w:bottom w:val="single" w:color="auto" w:sz="6" w:space="0"/>
              <w:right w:val="single" w:color="auto" w:sz="6" w:space="0"/>
            </w:tcBorders>
          </w:tcPr>
          <w:p w14:paraId="46B1F61D">
            <w:pPr>
              <w:autoSpaceDE w:val="0"/>
              <w:autoSpaceDN w:val="0"/>
              <w:adjustRightInd w:val="0"/>
              <w:spacing w:line="360" w:lineRule="auto"/>
              <w:ind w:left="0" w:firstLine="0"/>
              <w:jc w:val="center"/>
              <w:rPr>
                <w:rFonts w:ascii="宋体" w:hAnsi="宋体" w:cs="宋体"/>
                <w:color w:val="000000"/>
                <w:kern w:val="0"/>
                <w:sz w:val="22"/>
                <w:szCs w:val="22"/>
              </w:rPr>
            </w:pPr>
            <w:r>
              <w:rPr>
                <w:rFonts w:ascii="宋体" w:hAnsi="宋体" w:cs="宋体"/>
                <w:color w:val="000000"/>
                <w:kern w:val="0"/>
                <w:sz w:val="22"/>
                <w:szCs w:val="22"/>
              </w:rPr>
              <w:t>1</w:t>
            </w:r>
          </w:p>
        </w:tc>
        <w:tc>
          <w:tcPr>
            <w:tcW w:w="895" w:type="dxa"/>
            <w:tcBorders>
              <w:top w:val="single" w:color="auto" w:sz="6" w:space="0"/>
              <w:left w:val="single" w:color="auto" w:sz="6" w:space="0"/>
              <w:bottom w:val="single" w:color="auto" w:sz="6" w:space="0"/>
              <w:right w:val="single" w:color="auto" w:sz="6" w:space="0"/>
            </w:tcBorders>
          </w:tcPr>
          <w:p w14:paraId="343B8BA8">
            <w:pPr>
              <w:autoSpaceDE w:val="0"/>
              <w:autoSpaceDN w:val="0"/>
              <w:adjustRightInd w:val="0"/>
              <w:spacing w:line="360" w:lineRule="auto"/>
              <w:ind w:left="0" w:firstLine="0"/>
              <w:jc w:val="center"/>
              <w:rPr>
                <w:rFonts w:ascii="宋体" w:hAnsi="宋体" w:cs="宋体"/>
                <w:color w:val="000000"/>
                <w:kern w:val="0"/>
                <w:sz w:val="22"/>
                <w:szCs w:val="22"/>
              </w:rPr>
            </w:pPr>
            <w:r>
              <w:rPr>
                <w:rFonts w:hint="eastAsia" w:ascii="宋体" w:hAnsi="宋体" w:cs="宋体"/>
                <w:color w:val="000000"/>
                <w:kern w:val="0"/>
                <w:sz w:val="22"/>
                <w:szCs w:val="22"/>
              </w:rPr>
              <w:t>台</w:t>
            </w:r>
          </w:p>
        </w:tc>
      </w:tr>
      <w:tr w14:paraId="3B924092">
        <w:tblPrEx>
          <w:tblCellMar>
            <w:top w:w="0" w:type="dxa"/>
            <w:left w:w="30" w:type="dxa"/>
            <w:bottom w:w="0" w:type="dxa"/>
            <w:right w:w="30" w:type="dxa"/>
          </w:tblCellMar>
        </w:tblPrEx>
        <w:trPr>
          <w:jc w:val="center"/>
        </w:trPr>
        <w:tc>
          <w:tcPr>
            <w:tcW w:w="1070" w:type="dxa"/>
            <w:tcBorders>
              <w:top w:val="single" w:color="auto" w:sz="6" w:space="0"/>
              <w:left w:val="single" w:color="auto" w:sz="6" w:space="0"/>
              <w:bottom w:val="single" w:color="auto" w:sz="6" w:space="0"/>
              <w:right w:val="single" w:color="auto" w:sz="6" w:space="0"/>
            </w:tcBorders>
          </w:tcPr>
          <w:p w14:paraId="0925EE37">
            <w:pPr>
              <w:autoSpaceDE w:val="0"/>
              <w:autoSpaceDN w:val="0"/>
              <w:adjustRightInd w:val="0"/>
              <w:spacing w:line="360" w:lineRule="auto"/>
              <w:ind w:left="0" w:firstLine="0"/>
              <w:jc w:val="center"/>
              <w:rPr>
                <w:rFonts w:ascii="宋体" w:hAnsi="宋体" w:cs="宋体"/>
                <w:color w:val="000000"/>
                <w:kern w:val="0"/>
                <w:sz w:val="22"/>
                <w:szCs w:val="22"/>
              </w:rPr>
            </w:pPr>
            <w:r>
              <w:rPr>
                <w:rFonts w:ascii="宋体" w:hAnsi="宋体" w:cs="宋体"/>
                <w:color w:val="000000"/>
                <w:kern w:val="0"/>
                <w:sz w:val="22"/>
                <w:szCs w:val="22"/>
              </w:rPr>
              <w:t>5</w:t>
            </w:r>
          </w:p>
        </w:tc>
        <w:tc>
          <w:tcPr>
            <w:tcW w:w="2893" w:type="dxa"/>
            <w:tcBorders>
              <w:top w:val="single" w:color="auto" w:sz="6" w:space="0"/>
              <w:left w:val="single" w:color="auto" w:sz="6" w:space="0"/>
              <w:bottom w:val="single" w:color="auto" w:sz="6" w:space="0"/>
              <w:right w:val="single" w:color="auto" w:sz="6" w:space="0"/>
            </w:tcBorders>
          </w:tcPr>
          <w:p w14:paraId="0F306CA1">
            <w:pPr>
              <w:autoSpaceDE w:val="0"/>
              <w:autoSpaceDN w:val="0"/>
              <w:adjustRightInd w:val="0"/>
              <w:spacing w:line="360" w:lineRule="auto"/>
              <w:ind w:left="0" w:firstLine="0"/>
              <w:jc w:val="left"/>
              <w:rPr>
                <w:rFonts w:ascii="宋体" w:hAnsi="宋体" w:cs="宋体"/>
                <w:color w:val="000000"/>
                <w:kern w:val="0"/>
                <w:sz w:val="22"/>
                <w:szCs w:val="22"/>
              </w:rPr>
            </w:pPr>
            <w:r>
              <w:rPr>
                <w:rFonts w:hint="eastAsia" w:ascii="宋体" w:hAnsi="宋体" w:cs="宋体"/>
                <w:color w:val="000000"/>
                <w:kern w:val="0"/>
                <w:sz w:val="22"/>
                <w:szCs w:val="22"/>
              </w:rPr>
              <w:t>日志分析专家续服</w:t>
            </w:r>
          </w:p>
        </w:tc>
        <w:tc>
          <w:tcPr>
            <w:tcW w:w="3418" w:type="dxa"/>
            <w:tcBorders>
              <w:top w:val="single" w:color="auto" w:sz="6" w:space="0"/>
              <w:left w:val="single" w:color="auto" w:sz="6" w:space="0"/>
              <w:bottom w:val="single" w:color="auto" w:sz="6" w:space="0"/>
              <w:right w:val="single" w:color="auto" w:sz="6" w:space="0"/>
            </w:tcBorders>
          </w:tcPr>
          <w:p w14:paraId="4FC41C40">
            <w:pPr>
              <w:autoSpaceDE w:val="0"/>
              <w:autoSpaceDN w:val="0"/>
              <w:adjustRightInd w:val="0"/>
              <w:spacing w:line="360" w:lineRule="auto"/>
              <w:ind w:left="0" w:firstLine="0"/>
              <w:jc w:val="center"/>
              <w:rPr>
                <w:rFonts w:ascii="宋体" w:hAnsi="宋体" w:cs="宋体"/>
                <w:color w:val="000000"/>
                <w:kern w:val="0"/>
                <w:sz w:val="22"/>
                <w:szCs w:val="22"/>
              </w:rPr>
            </w:pPr>
            <w:bookmarkStart w:id="5" w:name="OLE_LINK28"/>
            <w:r>
              <w:rPr>
                <w:rFonts w:hint="eastAsia" w:ascii="宋体" w:hAnsi="宋体" w:cs="宋体"/>
                <w:color w:val="000000"/>
                <w:kern w:val="0"/>
                <w:sz w:val="22"/>
                <w:szCs w:val="22"/>
              </w:rPr>
              <w:t>锐捷</w:t>
            </w:r>
            <w:r>
              <w:rPr>
                <w:rFonts w:ascii="宋体" w:hAnsi="宋体" w:cs="宋体"/>
                <w:color w:val="000000"/>
                <w:kern w:val="0"/>
                <w:sz w:val="22"/>
                <w:szCs w:val="22"/>
              </w:rPr>
              <w:t xml:space="preserve"> RG-BDS 5000E-A</w:t>
            </w:r>
            <w:bookmarkEnd w:id="5"/>
          </w:p>
        </w:tc>
        <w:tc>
          <w:tcPr>
            <w:tcW w:w="875" w:type="dxa"/>
            <w:tcBorders>
              <w:top w:val="single" w:color="auto" w:sz="6" w:space="0"/>
              <w:left w:val="single" w:color="auto" w:sz="6" w:space="0"/>
              <w:bottom w:val="single" w:color="auto" w:sz="6" w:space="0"/>
              <w:right w:val="single" w:color="auto" w:sz="6" w:space="0"/>
            </w:tcBorders>
          </w:tcPr>
          <w:p w14:paraId="033BB0DF">
            <w:pPr>
              <w:autoSpaceDE w:val="0"/>
              <w:autoSpaceDN w:val="0"/>
              <w:adjustRightInd w:val="0"/>
              <w:spacing w:line="360" w:lineRule="auto"/>
              <w:ind w:left="0" w:firstLine="0"/>
              <w:jc w:val="center"/>
              <w:rPr>
                <w:rFonts w:ascii="宋体" w:hAnsi="宋体" w:cs="宋体"/>
                <w:color w:val="000000"/>
                <w:kern w:val="0"/>
                <w:sz w:val="22"/>
                <w:szCs w:val="22"/>
              </w:rPr>
            </w:pPr>
            <w:r>
              <w:rPr>
                <w:rFonts w:ascii="宋体" w:hAnsi="宋体" w:cs="宋体"/>
                <w:color w:val="000000"/>
                <w:kern w:val="0"/>
                <w:sz w:val="22"/>
                <w:szCs w:val="22"/>
              </w:rPr>
              <w:t>1</w:t>
            </w:r>
          </w:p>
        </w:tc>
        <w:tc>
          <w:tcPr>
            <w:tcW w:w="895" w:type="dxa"/>
            <w:tcBorders>
              <w:top w:val="single" w:color="auto" w:sz="6" w:space="0"/>
              <w:left w:val="single" w:color="auto" w:sz="6" w:space="0"/>
              <w:bottom w:val="single" w:color="auto" w:sz="6" w:space="0"/>
              <w:right w:val="single" w:color="auto" w:sz="6" w:space="0"/>
            </w:tcBorders>
          </w:tcPr>
          <w:p w14:paraId="23FCFD68">
            <w:pPr>
              <w:autoSpaceDE w:val="0"/>
              <w:autoSpaceDN w:val="0"/>
              <w:adjustRightInd w:val="0"/>
              <w:spacing w:line="360" w:lineRule="auto"/>
              <w:ind w:left="0" w:firstLine="0"/>
              <w:jc w:val="center"/>
              <w:rPr>
                <w:rFonts w:ascii="宋体" w:hAnsi="宋体" w:cs="宋体"/>
                <w:color w:val="000000"/>
                <w:kern w:val="0"/>
                <w:sz w:val="22"/>
                <w:szCs w:val="22"/>
              </w:rPr>
            </w:pPr>
            <w:r>
              <w:rPr>
                <w:rFonts w:hint="eastAsia" w:ascii="宋体" w:hAnsi="宋体" w:cs="宋体"/>
                <w:color w:val="000000"/>
                <w:kern w:val="0"/>
                <w:sz w:val="22"/>
                <w:szCs w:val="22"/>
              </w:rPr>
              <w:t>台</w:t>
            </w:r>
          </w:p>
        </w:tc>
      </w:tr>
      <w:tr w14:paraId="1F69A089">
        <w:tblPrEx>
          <w:tblCellMar>
            <w:top w:w="0" w:type="dxa"/>
            <w:left w:w="30" w:type="dxa"/>
            <w:bottom w:w="0" w:type="dxa"/>
            <w:right w:w="30" w:type="dxa"/>
          </w:tblCellMar>
        </w:tblPrEx>
        <w:trPr>
          <w:jc w:val="center"/>
        </w:trPr>
        <w:tc>
          <w:tcPr>
            <w:tcW w:w="1070" w:type="dxa"/>
            <w:tcBorders>
              <w:top w:val="single" w:color="auto" w:sz="6" w:space="0"/>
              <w:left w:val="single" w:color="auto" w:sz="6" w:space="0"/>
              <w:bottom w:val="single" w:color="auto" w:sz="6" w:space="0"/>
              <w:right w:val="single" w:color="auto" w:sz="6" w:space="0"/>
            </w:tcBorders>
          </w:tcPr>
          <w:p w14:paraId="74C3FDF2">
            <w:pPr>
              <w:autoSpaceDE w:val="0"/>
              <w:autoSpaceDN w:val="0"/>
              <w:adjustRightInd w:val="0"/>
              <w:spacing w:line="360" w:lineRule="auto"/>
              <w:ind w:left="0" w:firstLine="0"/>
              <w:jc w:val="center"/>
              <w:rPr>
                <w:rFonts w:ascii="宋体" w:hAnsi="宋体" w:cs="宋体"/>
                <w:color w:val="000000"/>
                <w:kern w:val="0"/>
                <w:sz w:val="22"/>
                <w:szCs w:val="22"/>
              </w:rPr>
            </w:pPr>
            <w:r>
              <w:rPr>
                <w:rFonts w:ascii="宋体" w:hAnsi="宋体" w:cs="宋体"/>
                <w:color w:val="000000"/>
                <w:kern w:val="0"/>
                <w:sz w:val="22"/>
                <w:szCs w:val="22"/>
              </w:rPr>
              <w:t>6</w:t>
            </w:r>
          </w:p>
        </w:tc>
        <w:tc>
          <w:tcPr>
            <w:tcW w:w="2893" w:type="dxa"/>
            <w:tcBorders>
              <w:top w:val="single" w:color="auto" w:sz="6" w:space="0"/>
              <w:left w:val="single" w:color="auto" w:sz="6" w:space="0"/>
              <w:bottom w:val="single" w:color="auto" w:sz="6" w:space="0"/>
              <w:right w:val="single" w:color="auto" w:sz="6" w:space="0"/>
            </w:tcBorders>
          </w:tcPr>
          <w:p w14:paraId="1DF2361C">
            <w:pPr>
              <w:autoSpaceDE w:val="0"/>
              <w:autoSpaceDN w:val="0"/>
              <w:adjustRightInd w:val="0"/>
              <w:spacing w:line="360" w:lineRule="auto"/>
              <w:ind w:left="0" w:firstLine="0"/>
              <w:jc w:val="left"/>
              <w:rPr>
                <w:rFonts w:ascii="宋体" w:hAnsi="宋体" w:cs="宋体"/>
                <w:color w:val="000000"/>
                <w:kern w:val="0"/>
                <w:sz w:val="22"/>
                <w:szCs w:val="22"/>
              </w:rPr>
            </w:pPr>
            <w:r>
              <w:rPr>
                <w:rFonts w:hint="eastAsia" w:ascii="宋体" w:hAnsi="宋体" w:cs="宋体"/>
                <w:color w:val="000000"/>
                <w:kern w:val="0"/>
                <w:sz w:val="22"/>
                <w:szCs w:val="22"/>
              </w:rPr>
              <w:t>千兆流量探针续服</w:t>
            </w:r>
          </w:p>
        </w:tc>
        <w:tc>
          <w:tcPr>
            <w:tcW w:w="3418" w:type="dxa"/>
            <w:tcBorders>
              <w:top w:val="single" w:color="auto" w:sz="6" w:space="0"/>
              <w:left w:val="single" w:color="auto" w:sz="6" w:space="0"/>
              <w:bottom w:val="single" w:color="auto" w:sz="6" w:space="0"/>
              <w:right w:val="single" w:color="auto" w:sz="6" w:space="0"/>
            </w:tcBorders>
          </w:tcPr>
          <w:p w14:paraId="70129A20">
            <w:pPr>
              <w:autoSpaceDE w:val="0"/>
              <w:autoSpaceDN w:val="0"/>
              <w:adjustRightInd w:val="0"/>
              <w:spacing w:line="360" w:lineRule="auto"/>
              <w:ind w:left="0" w:firstLine="0"/>
              <w:jc w:val="center"/>
              <w:rPr>
                <w:rFonts w:ascii="宋体" w:hAnsi="宋体" w:cs="宋体"/>
                <w:color w:val="000000"/>
                <w:kern w:val="0"/>
                <w:sz w:val="22"/>
                <w:szCs w:val="22"/>
              </w:rPr>
            </w:pPr>
            <w:r>
              <w:rPr>
                <w:rFonts w:hint="eastAsia" w:ascii="宋体" w:hAnsi="宋体" w:cs="宋体"/>
                <w:color w:val="000000"/>
                <w:kern w:val="0"/>
                <w:sz w:val="22"/>
                <w:szCs w:val="22"/>
              </w:rPr>
              <w:t>锐捷</w:t>
            </w:r>
            <w:r>
              <w:rPr>
                <w:rFonts w:ascii="宋体" w:hAnsi="宋体" w:cs="宋体"/>
                <w:color w:val="000000"/>
                <w:kern w:val="0"/>
                <w:sz w:val="22"/>
                <w:szCs w:val="22"/>
              </w:rPr>
              <w:t xml:space="preserve"> RG-BDS-TSP G1</w:t>
            </w:r>
          </w:p>
        </w:tc>
        <w:tc>
          <w:tcPr>
            <w:tcW w:w="875" w:type="dxa"/>
            <w:tcBorders>
              <w:top w:val="single" w:color="auto" w:sz="6" w:space="0"/>
              <w:left w:val="single" w:color="auto" w:sz="6" w:space="0"/>
              <w:bottom w:val="single" w:color="auto" w:sz="6" w:space="0"/>
              <w:right w:val="single" w:color="auto" w:sz="6" w:space="0"/>
            </w:tcBorders>
          </w:tcPr>
          <w:p w14:paraId="0B32C9B4">
            <w:pPr>
              <w:autoSpaceDE w:val="0"/>
              <w:autoSpaceDN w:val="0"/>
              <w:adjustRightInd w:val="0"/>
              <w:spacing w:line="360" w:lineRule="auto"/>
              <w:ind w:left="0" w:firstLine="0"/>
              <w:jc w:val="center"/>
              <w:rPr>
                <w:rFonts w:ascii="宋体" w:hAnsi="宋体" w:cs="宋体"/>
                <w:color w:val="000000"/>
                <w:kern w:val="0"/>
                <w:sz w:val="22"/>
                <w:szCs w:val="22"/>
              </w:rPr>
            </w:pPr>
            <w:r>
              <w:rPr>
                <w:rFonts w:ascii="宋体" w:hAnsi="宋体" w:cs="宋体"/>
                <w:color w:val="000000"/>
                <w:kern w:val="0"/>
                <w:sz w:val="22"/>
                <w:szCs w:val="22"/>
              </w:rPr>
              <w:t>1</w:t>
            </w:r>
          </w:p>
        </w:tc>
        <w:tc>
          <w:tcPr>
            <w:tcW w:w="895" w:type="dxa"/>
            <w:tcBorders>
              <w:top w:val="single" w:color="auto" w:sz="6" w:space="0"/>
              <w:left w:val="single" w:color="auto" w:sz="6" w:space="0"/>
              <w:bottom w:val="single" w:color="auto" w:sz="6" w:space="0"/>
              <w:right w:val="single" w:color="auto" w:sz="6" w:space="0"/>
            </w:tcBorders>
          </w:tcPr>
          <w:p w14:paraId="3670C606">
            <w:pPr>
              <w:autoSpaceDE w:val="0"/>
              <w:autoSpaceDN w:val="0"/>
              <w:adjustRightInd w:val="0"/>
              <w:spacing w:line="360" w:lineRule="auto"/>
              <w:ind w:left="0" w:firstLine="0"/>
              <w:jc w:val="center"/>
              <w:rPr>
                <w:rFonts w:ascii="宋体" w:hAnsi="宋体" w:cs="宋体"/>
                <w:color w:val="000000"/>
                <w:kern w:val="0"/>
                <w:sz w:val="22"/>
                <w:szCs w:val="22"/>
              </w:rPr>
            </w:pPr>
            <w:r>
              <w:rPr>
                <w:rFonts w:hint="eastAsia" w:ascii="宋体" w:hAnsi="宋体" w:cs="宋体"/>
                <w:color w:val="000000"/>
                <w:kern w:val="0"/>
                <w:sz w:val="22"/>
                <w:szCs w:val="22"/>
              </w:rPr>
              <w:t>台</w:t>
            </w:r>
          </w:p>
        </w:tc>
      </w:tr>
      <w:tr w14:paraId="28767F8C">
        <w:tblPrEx>
          <w:tblCellMar>
            <w:top w:w="0" w:type="dxa"/>
            <w:left w:w="30" w:type="dxa"/>
            <w:bottom w:w="0" w:type="dxa"/>
            <w:right w:w="30" w:type="dxa"/>
          </w:tblCellMar>
        </w:tblPrEx>
        <w:trPr>
          <w:jc w:val="center"/>
        </w:trPr>
        <w:tc>
          <w:tcPr>
            <w:tcW w:w="1070" w:type="dxa"/>
            <w:tcBorders>
              <w:top w:val="single" w:color="auto" w:sz="6" w:space="0"/>
              <w:left w:val="single" w:color="auto" w:sz="6" w:space="0"/>
              <w:bottom w:val="single" w:color="auto" w:sz="6" w:space="0"/>
              <w:right w:val="single" w:color="auto" w:sz="6" w:space="0"/>
            </w:tcBorders>
          </w:tcPr>
          <w:p w14:paraId="32405EC5">
            <w:pPr>
              <w:autoSpaceDE w:val="0"/>
              <w:autoSpaceDN w:val="0"/>
              <w:adjustRightInd w:val="0"/>
              <w:spacing w:line="360" w:lineRule="auto"/>
              <w:ind w:left="0" w:firstLine="0"/>
              <w:jc w:val="center"/>
              <w:rPr>
                <w:rFonts w:ascii="宋体" w:hAnsi="宋体" w:cs="宋体"/>
                <w:color w:val="000000"/>
                <w:kern w:val="0"/>
                <w:sz w:val="22"/>
                <w:szCs w:val="22"/>
              </w:rPr>
            </w:pPr>
            <w:r>
              <w:rPr>
                <w:rFonts w:ascii="宋体" w:hAnsi="宋体" w:cs="宋体"/>
                <w:color w:val="000000"/>
                <w:kern w:val="0"/>
                <w:sz w:val="22"/>
                <w:szCs w:val="22"/>
              </w:rPr>
              <w:t>7</w:t>
            </w:r>
          </w:p>
        </w:tc>
        <w:tc>
          <w:tcPr>
            <w:tcW w:w="2893" w:type="dxa"/>
            <w:tcBorders>
              <w:top w:val="single" w:color="auto" w:sz="6" w:space="0"/>
              <w:left w:val="single" w:color="auto" w:sz="6" w:space="0"/>
              <w:bottom w:val="single" w:color="auto" w:sz="6" w:space="0"/>
              <w:right w:val="single" w:color="auto" w:sz="6" w:space="0"/>
            </w:tcBorders>
          </w:tcPr>
          <w:p w14:paraId="6A806B7A">
            <w:pPr>
              <w:autoSpaceDE w:val="0"/>
              <w:autoSpaceDN w:val="0"/>
              <w:adjustRightInd w:val="0"/>
              <w:spacing w:line="360" w:lineRule="auto"/>
              <w:ind w:left="0" w:firstLine="0"/>
              <w:jc w:val="left"/>
              <w:rPr>
                <w:rFonts w:ascii="宋体" w:hAnsi="宋体" w:cs="宋体"/>
                <w:color w:val="000000"/>
                <w:kern w:val="0"/>
                <w:sz w:val="22"/>
                <w:szCs w:val="22"/>
              </w:rPr>
            </w:pPr>
            <w:r>
              <w:rPr>
                <w:rFonts w:hint="eastAsia" w:ascii="宋体" w:hAnsi="宋体" w:cs="宋体"/>
                <w:color w:val="000000"/>
                <w:kern w:val="0"/>
                <w:sz w:val="22"/>
                <w:szCs w:val="22"/>
              </w:rPr>
              <w:t>高级威胁检测系统探针续服</w:t>
            </w:r>
          </w:p>
        </w:tc>
        <w:tc>
          <w:tcPr>
            <w:tcW w:w="3418" w:type="dxa"/>
            <w:tcBorders>
              <w:top w:val="single" w:color="auto" w:sz="6" w:space="0"/>
              <w:left w:val="single" w:color="auto" w:sz="6" w:space="0"/>
              <w:bottom w:val="single" w:color="auto" w:sz="6" w:space="0"/>
              <w:right w:val="single" w:color="auto" w:sz="6" w:space="0"/>
            </w:tcBorders>
          </w:tcPr>
          <w:p w14:paraId="5BA82533">
            <w:pPr>
              <w:autoSpaceDE w:val="0"/>
              <w:autoSpaceDN w:val="0"/>
              <w:adjustRightInd w:val="0"/>
              <w:spacing w:line="360" w:lineRule="auto"/>
              <w:ind w:left="0" w:firstLine="0"/>
              <w:jc w:val="center"/>
              <w:rPr>
                <w:rFonts w:ascii="宋体" w:hAnsi="宋体" w:cs="宋体"/>
                <w:color w:val="000000"/>
                <w:kern w:val="0"/>
                <w:sz w:val="22"/>
                <w:szCs w:val="22"/>
              </w:rPr>
            </w:pPr>
            <w:bookmarkStart w:id="6" w:name="OLE_LINK29"/>
            <w:r>
              <w:rPr>
                <w:rFonts w:hint="eastAsia" w:ascii="宋体" w:hAnsi="宋体" w:cs="宋体"/>
                <w:color w:val="000000"/>
                <w:kern w:val="0"/>
                <w:sz w:val="22"/>
                <w:szCs w:val="22"/>
              </w:rPr>
              <w:t>锐捷</w:t>
            </w:r>
            <w:r>
              <w:rPr>
                <w:rFonts w:ascii="宋体" w:hAnsi="宋体" w:cs="宋体"/>
                <w:color w:val="000000"/>
                <w:kern w:val="0"/>
                <w:sz w:val="22"/>
                <w:szCs w:val="22"/>
              </w:rPr>
              <w:t>RG-APT 1000</w:t>
            </w:r>
            <w:bookmarkEnd w:id="6"/>
          </w:p>
        </w:tc>
        <w:tc>
          <w:tcPr>
            <w:tcW w:w="875" w:type="dxa"/>
            <w:tcBorders>
              <w:top w:val="single" w:color="auto" w:sz="6" w:space="0"/>
              <w:left w:val="single" w:color="auto" w:sz="6" w:space="0"/>
              <w:bottom w:val="single" w:color="auto" w:sz="6" w:space="0"/>
              <w:right w:val="single" w:color="auto" w:sz="6" w:space="0"/>
            </w:tcBorders>
          </w:tcPr>
          <w:p w14:paraId="12C968A9">
            <w:pPr>
              <w:autoSpaceDE w:val="0"/>
              <w:autoSpaceDN w:val="0"/>
              <w:adjustRightInd w:val="0"/>
              <w:spacing w:line="360" w:lineRule="auto"/>
              <w:ind w:left="0" w:firstLine="0"/>
              <w:jc w:val="center"/>
              <w:rPr>
                <w:rFonts w:ascii="宋体" w:hAnsi="宋体" w:cs="宋体"/>
                <w:color w:val="000000"/>
                <w:kern w:val="0"/>
                <w:sz w:val="22"/>
                <w:szCs w:val="22"/>
              </w:rPr>
            </w:pPr>
            <w:r>
              <w:rPr>
                <w:rFonts w:ascii="宋体" w:hAnsi="宋体" w:cs="宋体"/>
                <w:color w:val="000000"/>
                <w:kern w:val="0"/>
                <w:sz w:val="22"/>
                <w:szCs w:val="22"/>
              </w:rPr>
              <w:t>1</w:t>
            </w:r>
          </w:p>
        </w:tc>
        <w:tc>
          <w:tcPr>
            <w:tcW w:w="895" w:type="dxa"/>
            <w:tcBorders>
              <w:top w:val="single" w:color="auto" w:sz="6" w:space="0"/>
              <w:left w:val="single" w:color="auto" w:sz="6" w:space="0"/>
              <w:bottom w:val="single" w:color="auto" w:sz="6" w:space="0"/>
              <w:right w:val="single" w:color="auto" w:sz="6" w:space="0"/>
            </w:tcBorders>
          </w:tcPr>
          <w:p w14:paraId="53C0D9F5">
            <w:pPr>
              <w:autoSpaceDE w:val="0"/>
              <w:autoSpaceDN w:val="0"/>
              <w:adjustRightInd w:val="0"/>
              <w:spacing w:line="360" w:lineRule="auto"/>
              <w:ind w:left="0" w:firstLine="0"/>
              <w:jc w:val="center"/>
              <w:rPr>
                <w:rFonts w:ascii="宋体" w:hAnsi="宋体" w:cs="宋体"/>
                <w:color w:val="000000"/>
                <w:kern w:val="0"/>
                <w:sz w:val="22"/>
                <w:szCs w:val="22"/>
              </w:rPr>
            </w:pPr>
            <w:r>
              <w:rPr>
                <w:rFonts w:hint="eastAsia" w:ascii="宋体" w:hAnsi="宋体" w:cs="宋体"/>
                <w:color w:val="000000"/>
                <w:kern w:val="0"/>
                <w:sz w:val="22"/>
                <w:szCs w:val="22"/>
              </w:rPr>
              <w:t>台</w:t>
            </w:r>
          </w:p>
        </w:tc>
      </w:tr>
    </w:tbl>
    <w:p w14:paraId="43D63F0E">
      <w:pPr>
        <w:ind w:left="0" w:firstLine="0"/>
        <w:rPr>
          <w:rFonts w:ascii="宋体" w:hAnsi="宋体"/>
        </w:rPr>
      </w:pPr>
    </w:p>
    <w:p w14:paraId="13D77424">
      <w:pPr>
        <w:pStyle w:val="2"/>
      </w:pPr>
      <w:r>
        <w:br w:type="page"/>
      </w:r>
    </w:p>
    <w:p w14:paraId="6C249D83">
      <w:pPr>
        <w:pStyle w:val="3"/>
        <w:numPr>
          <w:ilvl w:val="0"/>
          <w:numId w:val="1"/>
        </w:numPr>
        <w:spacing w:before="120" w:after="120" w:line="360" w:lineRule="auto"/>
        <w:ind w:left="0" w:firstLine="0"/>
        <w:rPr>
          <w:rFonts w:ascii="宋体" w:hAnsi="宋体"/>
          <w:sz w:val="32"/>
          <w:szCs w:val="32"/>
        </w:rPr>
      </w:pPr>
      <w:r>
        <w:rPr>
          <w:rFonts w:hint="eastAsia" w:ascii="宋体" w:hAnsi="宋体"/>
          <w:sz w:val="32"/>
          <w:szCs w:val="32"/>
        </w:rPr>
        <w:t>技术参数要求及服务要求</w:t>
      </w:r>
    </w:p>
    <w:p w14:paraId="2EDD3A2D">
      <w:pPr>
        <w:pStyle w:val="4"/>
        <w:spacing w:line="360" w:lineRule="auto"/>
        <w:ind w:left="0" w:firstLine="0"/>
        <w:jc w:val="left"/>
        <w:rPr>
          <w:rFonts w:ascii="宋体" w:hAnsi="宋体"/>
          <w:sz w:val="28"/>
          <w:szCs w:val="28"/>
        </w:rPr>
      </w:pPr>
      <w:r>
        <w:rPr>
          <w:rFonts w:ascii="宋体" w:hAnsi="宋体"/>
          <w:sz w:val="28"/>
          <w:szCs w:val="28"/>
        </w:rPr>
        <w:t>1</w:t>
      </w:r>
      <w:r>
        <w:rPr>
          <w:rFonts w:hint="eastAsia" w:ascii="宋体" w:hAnsi="宋体"/>
          <w:sz w:val="28"/>
          <w:szCs w:val="28"/>
        </w:rPr>
        <w:t>、</w:t>
      </w:r>
      <w:bookmarkStart w:id="7" w:name="OLE_LINK20"/>
      <w:r>
        <w:rPr>
          <w:rFonts w:hint="eastAsia" w:ascii="宋体" w:hAnsi="宋体"/>
          <w:sz w:val="28"/>
          <w:szCs w:val="28"/>
        </w:rPr>
        <w:t>技术参数要求</w:t>
      </w:r>
      <w:bookmarkEnd w:id="7"/>
    </w:p>
    <w:tbl>
      <w:tblPr>
        <w:tblStyle w:val="13"/>
        <w:tblW w:w="9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163"/>
        <w:gridCol w:w="7174"/>
        <w:gridCol w:w="703"/>
      </w:tblGrid>
      <w:tr w14:paraId="1023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tcPr>
          <w:p w14:paraId="780D91C2">
            <w:pPr>
              <w:spacing w:line="360" w:lineRule="auto"/>
              <w:ind w:left="0" w:firstLine="0"/>
              <w:jc w:val="center"/>
              <w:rPr>
                <w:rFonts w:ascii="宋体" w:hAnsi="宋体"/>
                <w:b/>
                <w:bCs/>
                <w:szCs w:val="21"/>
              </w:rPr>
            </w:pPr>
            <w:r>
              <w:rPr>
                <w:rFonts w:hint="eastAsia" w:ascii="宋体" w:hAnsi="宋体"/>
                <w:b/>
                <w:bCs/>
                <w:szCs w:val="21"/>
              </w:rPr>
              <w:t>序号</w:t>
            </w:r>
          </w:p>
        </w:tc>
        <w:tc>
          <w:tcPr>
            <w:tcW w:w="1163" w:type="dxa"/>
          </w:tcPr>
          <w:p w14:paraId="3B9DAF45">
            <w:pPr>
              <w:spacing w:line="360" w:lineRule="auto"/>
              <w:ind w:left="0" w:firstLine="0"/>
              <w:jc w:val="center"/>
              <w:rPr>
                <w:rFonts w:ascii="宋体" w:hAnsi="宋体"/>
                <w:b/>
                <w:bCs/>
                <w:szCs w:val="21"/>
              </w:rPr>
            </w:pPr>
            <w:r>
              <w:rPr>
                <w:rFonts w:hint="eastAsia" w:ascii="宋体" w:hAnsi="宋体"/>
                <w:b/>
                <w:bCs/>
                <w:szCs w:val="21"/>
              </w:rPr>
              <w:t>服务名称</w:t>
            </w:r>
          </w:p>
        </w:tc>
        <w:tc>
          <w:tcPr>
            <w:tcW w:w="7174" w:type="dxa"/>
          </w:tcPr>
          <w:p w14:paraId="2B59C435">
            <w:pPr>
              <w:spacing w:line="360" w:lineRule="auto"/>
              <w:ind w:left="0" w:firstLine="0"/>
              <w:jc w:val="center"/>
              <w:rPr>
                <w:rFonts w:ascii="宋体" w:hAnsi="宋体"/>
                <w:b/>
                <w:bCs/>
                <w:szCs w:val="21"/>
              </w:rPr>
            </w:pPr>
            <w:r>
              <w:rPr>
                <w:rFonts w:hint="eastAsia" w:ascii="宋体" w:hAnsi="宋体"/>
                <w:b/>
                <w:bCs/>
                <w:szCs w:val="21"/>
              </w:rPr>
              <w:t>技术参数要求</w:t>
            </w:r>
          </w:p>
        </w:tc>
        <w:tc>
          <w:tcPr>
            <w:tcW w:w="703" w:type="dxa"/>
          </w:tcPr>
          <w:p w14:paraId="2DC8EC70">
            <w:pPr>
              <w:spacing w:line="360" w:lineRule="auto"/>
              <w:ind w:left="0" w:firstLine="0"/>
              <w:jc w:val="center"/>
              <w:rPr>
                <w:rFonts w:ascii="宋体" w:hAnsi="宋体"/>
                <w:b/>
                <w:bCs/>
                <w:szCs w:val="21"/>
              </w:rPr>
            </w:pPr>
            <w:r>
              <w:rPr>
                <w:rFonts w:hint="eastAsia" w:ascii="宋体" w:hAnsi="宋体"/>
                <w:b/>
                <w:bCs/>
                <w:szCs w:val="21"/>
              </w:rPr>
              <w:t>数量</w:t>
            </w:r>
          </w:p>
        </w:tc>
      </w:tr>
      <w:tr w14:paraId="7C52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Align w:val="center"/>
          </w:tcPr>
          <w:p w14:paraId="35648FF2">
            <w:pPr>
              <w:spacing w:line="360" w:lineRule="auto"/>
              <w:ind w:left="0" w:firstLine="0"/>
              <w:jc w:val="center"/>
              <w:rPr>
                <w:rFonts w:ascii="宋体" w:hAnsi="宋体"/>
                <w:szCs w:val="21"/>
              </w:rPr>
            </w:pPr>
            <w:r>
              <w:rPr>
                <w:rFonts w:hint="eastAsia" w:ascii="宋体" w:hAnsi="宋体"/>
                <w:szCs w:val="21"/>
              </w:rPr>
              <w:t>1</w:t>
            </w:r>
          </w:p>
        </w:tc>
        <w:tc>
          <w:tcPr>
            <w:tcW w:w="1163" w:type="dxa"/>
            <w:vAlign w:val="center"/>
          </w:tcPr>
          <w:p w14:paraId="6DF2F494">
            <w:pPr>
              <w:spacing w:line="360" w:lineRule="auto"/>
              <w:ind w:left="0" w:firstLine="0"/>
              <w:rPr>
                <w:rFonts w:ascii="宋体" w:hAnsi="宋体"/>
                <w:b/>
                <w:bCs/>
                <w:szCs w:val="21"/>
              </w:rPr>
            </w:pPr>
            <w:r>
              <w:rPr>
                <w:rFonts w:hint="eastAsia" w:ascii="宋体" w:hAnsi="宋体"/>
                <w:szCs w:val="21"/>
              </w:rPr>
              <w:t>防火墙续服</w:t>
            </w:r>
          </w:p>
        </w:tc>
        <w:tc>
          <w:tcPr>
            <w:tcW w:w="7174" w:type="dxa"/>
          </w:tcPr>
          <w:p w14:paraId="1C9DBE6A">
            <w:pPr>
              <w:spacing w:line="360" w:lineRule="auto"/>
              <w:ind w:left="0" w:firstLine="0"/>
              <w:jc w:val="left"/>
              <w:rPr>
                <w:rFonts w:ascii="宋体" w:hAnsi="宋体"/>
                <w:szCs w:val="21"/>
              </w:rPr>
            </w:pPr>
            <w:r>
              <w:rPr>
                <w:rFonts w:ascii="宋体" w:hAnsi="宋体"/>
                <w:szCs w:val="21"/>
              </w:rPr>
              <w:t>1</w:t>
            </w:r>
            <w:r>
              <w:rPr>
                <w:rFonts w:hint="eastAsia" w:ascii="宋体" w:hAnsi="宋体"/>
                <w:szCs w:val="21"/>
              </w:rPr>
              <w:t>、为了保护医院免受病毒的侵袭和骚扰，提高网络环境的安全性，要求对清单内的</w:t>
            </w:r>
            <w:r>
              <w:rPr>
                <w:rFonts w:hint="eastAsia" w:ascii="宋体" w:hAnsi="宋体" w:cs="宋体"/>
                <w:color w:val="000000"/>
                <w:kern w:val="0"/>
                <w:sz w:val="22"/>
                <w:szCs w:val="22"/>
              </w:rPr>
              <w:t>锐捷</w:t>
            </w:r>
            <w:r>
              <w:rPr>
                <w:rFonts w:ascii="宋体" w:hAnsi="宋体" w:cs="宋体"/>
                <w:color w:val="000000"/>
                <w:kern w:val="0"/>
                <w:sz w:val="22"/>
                <w:szCs w:val="22"/>
              </w:rPr>
              <w:t xml:space="preserve"> RG-WALL1600-M5800E</w:t>
            </w:r>
            <w:r>
              <w:rPr>
                <w:rFonts w:hint="eastAsia" w:ascii="宋体" w:hAnsi="宋体"/>
                <w:szCs w:val="21"/>
              </w:rPr>
              <w:t>防火墙提供2年原厂特征库和软件升级服务。</w:t>
            </w:r>
          </w:p>
          <w:p w14:paraId="6A9EAAAB">
            <w:pPr>
              <w:spacing w:line="360" w:lineRule="auto"/>
              <w:ind w:left="0" w:firstLine="0"/>
              <w:jc w:val="left"/>
              <w:rPr>
                <w:rFonts w:ascii="宋体" w:hAnsi="宋体"/>
                <w:b/>
                <w:bCs/>
                <w:szCs w:val="21"/>
              </w:rPr>
            </w:pPr>
            <w:r>
              <w:rPr>
                <w:rFonts w:ascii="宋体" w:hAnsi="宋体"/>
                <w:szCs w:val="21"/>
              </w:rPr>
              <w:t>2</w:t>
            </w:r>
            <w:r>
              <w:rPr>
                <w:rFonts w:hint="eastAsia" w:ascii="宋体" w:hAnsi="宋体"/>
                <w:szCs w:val="21"/>
              </w:rPr>
              <w:t>、要求原厂服务包含软件升级包、更新授权、以及远程升级指导服务，提供该软件版本配套的文档资料、用户手册，升级后用户将享有新版本软件的使用权利。</w:t>
            </w:r>
          </w:p>
          <w:p w14:paraId="64064ADE">
            <w:pPr>
              <w:spacing w:line="360" w:lineRule="auto"/>
              <w:ind w:left="0" w:firstLine="0"/>
              <w:jc w:val="left"/>
              <w:rPr>
                <w:rFonts w:ascii="宋体" w:hAnsi="宋体"/>
                <w:szCs w:val="21"/>
              </w:rPr>
            </w:pPr>
            <w:r>
              <w:rPr>
                <w:rFonts w:ascii="宋体" w:hAnsi="宋体"/>
                <w:szCs w:val="21"/>
              </w:rPr>
              <w:t>*3、</w:t>
            </w:r>
            <w:r>
              <w:rPr>
                <w:rFonts w:hint="eastAsia" w:ascii="宋体" w:hAnsi="宋体"/>
                <w:szCs w:val="21"/>
              </w:rPr>
              <w:t>要求提供</w:t>
            </w:r>
            <w:r>
              <w:rPr>
                <w:rFonts w:ascii="宋体" w:hAnsi="宋体"/>
                <w:szCs w:val="21"/>
              </w:rPr>
              <w:t>各种安全特征库</w:t>
            </w:r>
            <w:r>
              <w:rPr>
                <w:rFonts w:hint="eastAsia" w:ascii="宋体" w:hAnsi="宋体"/>
                <w:szCs w:val="21"/>
              </w:rPr>
              <w:t>、</w:t>
            </w:r>
            <w:r>
              <w:rPr>
                <w:rFonts w:ascii="宋体" w:hAnsi="宋体"/>
                <w:szCs w:val="21"/>
              </w:rPr>
              <w:t>应用识别库和URL分类库的定期更新服务，</w:t>
            </w:r>
            <w:r>
              <w:rPr>
                <w:rFonts w:hint="eastAsia" w:ascii="宋体" w:hAnsi="宋体"/>
                <w:szCs w:val="21"/>
              </w:rPr>
              <w:t>保持防火墙</w:t>
            </w:r>
            <w:r>
              <w:rPr>
                <w:rFonts w:ascii="宋体" w:hAnsi="宋体"/>
                <w:szCs w:val="21"/>
              </w:rPr>
              <w:t>具备监测并防御最新威胁的能力</w:t>
            </w:r>
            <w:r>
              <w:rPr>
                <w:rFonts w:hint="eastAsia" w:ascii="宋体" w:hAnsi="宋体"/>
                <w:szCs w:val="21"/>
              </w:rPr>
              <w:t>。</w:t>
            </w:r>
          </w:p>
          <w:p w14:paraId="6073244D">
            <w:pPr>
              <w:spacing w:line="360" w:lineRule="auto"/>
              <w:ind w:left="0" w:firstLine="0"/>
              <w:jc w:val="left"/>
              <w:rPr>
                <w:rFonts w:ascii="宋体" w:hAnsi="宋体"/>
                <w:szCs w:val="21"/>
              </w:rPr>
            </w:pPr>
            <w:r>
              <w:rPr>
                <w:rFonts w:hint="eastAsia" w:ascii="宋体" w:hAnsi="宋体"/>
                <w:szCs w:val="21"/>
              </w:rPr>
              <w:t>4、要求原厂提供每季度一次的日常巡检，包含规则库升级到最新版本，补丁修复。</w:t>
            </w:r>
          </w:p>
          <w:p w14:paraId="3C448F44">
            <w:pPr>
              <w:spacing w:line="360" w:lineRule="auto"/>
              <w:ind w:left="0" w:firstLine="0"/>
              <w:jc w:val="left"/>
              <w:rPr>
                <w:rFonts w:ascii="宋体" w:hAnsi="宋体" w:cs="仿宋"/>
                <w:szCs w:val="21"/>
              </w:rPr>
            </w:pPr>
            <w:r>
              <w:rPr>
                <w:rFonts w:hint="eastAsia" w:ascii="宋体" w:hAnsi="宋体" w:cs="仿宋"/>
                <w:szCs w:val="21"/>
              </w:rPr>
              <w:t>*</w:t>
            </w:r>
            <w:r>
              <w:rPr>
                <w:rFonts w:ascii="宋体" w:hAnsi="宋体" w:cs="仿宋"/>
                <w:szCs w:val="21"/>
              </w:rPr>
              <w:t>5</w:t>
            </w:r>
            <w:r>
              <w:rPr>
                <w:rFonts w:hint="eastAsia" w:ascii="宋体" w:hAnsi="宋体" w:cs="仿宋"/>
                <w:szCs w:val="21"/>
              </w:rPr>
              <w:t>、</w:t>
            </w:r>
            <w:bookmarkStart w:id="8" w:name="OLE_LINK21"/>
            <w:bookmarkStart w:id="9" w:name="OLE_LINK8"/>
            <w:r>
              <w:rPr>
                <w:rFonts w:hint="eastAsia" w:ascii="宋体" w:hAnsi="宋体" w:cs="仿宋"/>
                <w:szCs w:val="21"/>
              </w:rPr>
              <w:t>要求提供原厂针对本项目的售后服务承诺函并加盖原厂公章</w:t>
            </w:r>
            <w:bookmarkEnd w:id="8"/>
            <w:r>
              <w:rPr>
                <w:rFonts w:hint="eastAsia" w:ascii="宋体" w:hAnsi="宋体" w:cs="仿宋"/>
                <w:szCs w:val="21"/>
              </w:rPr>
              <w:t>。</w:t>
            </w:r>
            <w:bookmarkEnd w:id="9"/>
          </w:p>
        </w:tc>
        <w:tc>
          <w:tcPr>
            <w:tcW w:w="703" w:type="dxa"/>
            <w:vAlign w:val="center"/>
          </w:tcPr>
          <w:p w14:paraId="2D38EFC2">
            <w:pPr>
              <w:spacing w:line="360" w:lineRule="auto"/>
              <w:ind w:left="0" w:firstLine="0"/>
              <w:jc w:val="center"/>
              <w:rPr>
                <w:rFonts w:ascii="宋体" w:hAnsi="宋体"/>
                <w:b/>
                <w:bCs/>
                <w:szCs w:val="21"/>
              </w:rPr>
            </w:pPr>
            <w:r>
              <w:rPr>
                <w:rFonts w:ascii="宋体" w:hAnsi="宋体"/>
                <w:szCs w:val="21"/>
              </w:rPr>
              <w:t>2</w:t>
            </w:r>
            <w:r>
              <w:rPr>
                <w:rFonts w:hint="eastAsia" w:ascii="宋体" w:hAnsi="宋体"/>
                <w:szCs w:val="21"/>
              </w:rPr>
              <w:t>台</w:t>
            </w:r>
          </w:p>
        </w:tc>
      </w:tr>
      <w:tr w14:paraId="4ED25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Align w:val="center"/>
          </w:tcPr>
          <w:p w14:paraId="09DC2222">
            <w:pPr>
              <w:spacing w:line="360" w:lineRule="auto"/>
              <w:ind w:left="0" w:firstLine="0"/>
              <w:jc w:val="center"/>
              <w:rPr>
                <w:rFonts w:ascii="宋体" w:hAnsi="宋体"/>
                <w:b/>
                <w:bCs/>
                <w:szCs w:val="21"/>
              </w:rPr>
            </w:pPr>
            <w:r>
              <w:rPr>
                <w:rFonts w:hint="eastAsia" w:ascii="宋体" w:hAnsi="宋体"/>
                <w:b/>
                <w:bCs/>
                <w:szCs w:val="21"/>
              </w:rPr>
              <w:t>2</w:t>
            </w:r>
          </w:p>
        </w:tc>
        <w:tc>
          <w:tcPr>
            <w:tcW w:w="1163" w:type="dxa"/>
            <w:vAlign w:val="center"/>
          </w:tcPr>
          <w:p w14:paraId="5D162214">
            <w:pPr>
              <w:spacing w:line="360" w:lineRule="auto"/>
              <w:ind w:left="0" w:firstLine="0"/>
              <w:jc w:val="center"/>
              <w:rPr>
                <w:rFonts w:ascii="宋体" w:hAnsi="宋体"/>
                <w:b/>
                <w:bCs/>
                <w:szCs w:val="21"/>
              </w:rPr>
            </w:pPr>
            <w:r>
              <w:rPr>
                <w:rFonts w:hint="eastAsia" w:ascii="宋体" w:hAnsi="宋体"/>
                <w:szCs w:val="21"/>
              </w:rPr>
              <w:t>WEB应用防火墙续服</w:t>
            </w:r>
          </w:p>
        </w:tc>
        <w:tc>
          <w:tcPr>
            <w:tcW w:w="7174" w:type="dxa"/>
          </w:tcPr>
          <w:p w14:paraId="35264E28">
            <w:pPr>
              <w:spacing w:line="360" w:lineRule="auto"/>
              <w:ind w:left="0" w:firstLine="0"/>
              <w:jc w:val="left"/>
              <w:rPr>
                <w:rFonts w:ascii="宋体" w:hAnsi="宋体"/>
                <w:szCs w:val="21"/>
              </w:rPr>
            </w:pPr>
            <w:r>
              <w:rPr>
                <w:rFonts w:ascii="宋体" w:hAnsi="宋体"/>
                <w:szCs w:val="21"/>
              </w:rPr>
              <w:t>1</w:t>
            </w:r>
            <w:r>
              <w:rPr>
                <w:rFonts w:hint="eastAsia" w:ascii="宋体" w:hAnsi="宋体"/>
                <w:szCs w:val="21"/>
              </w:rPr>
              <w:t>、为保护医院免受病毒的侵袭和骚扰，提高网络环境的安全性，要求对清单内的</w:t>
            </w:r>
            <w:r>
              <w:rPr>
                <w:rFonts w:hint="eastAsia" w:ascii="宋体" w:hAnsi="宋体" w:cs="宋体"/>
                <w:color w:val="000000"/>
                <w:kern w:val="0"/>
                <w:sz w:val="22"/>
                <w:szCs w:val="22"/>
              </w:rPr>
              <w:t>锐捷</w:t>
            </w:r>
            <w:r>
              <w:rPr>
                <w:rFonts w:ascii="宋体" w:hAnsi="宋体" w:cs="宋体"/>
                <w:color w:val="000000"/>
                <w:kern w:val="0"/>
                <w:sz w:val="22"/>
                <w:szCs w:val="22"/>
              </w:rPr>
              <w:t>RG-WG-E</w:t>
            </w:r>
            <w:r>
              <w:rPr>
                <w:rFonts w:hint="eastAsia" w:ascii="宋体" w:hAnsi="宋体"/>
                <w:szCs w:val="21"/>
              </w:rPr>
              <w:t xml:space="preserve"> WEB应用防火墙提供2年原厂特征库和软件升级服务。</w:t>
            </w:r>
          </w:p>
          <w:p w14:paraId="199115CC">
            <w:pPr>
              <w:spacing w:line="360" w:lineRule="auto"/>
              <w:ind w:left="0" w:firstLine="0"/>
              <w:jc w:val="left"/>
              <w:rPr>
                <w:rFonts w:ascii="宋体" w:hAnsi="宋体"/>
                <w:b/>
                <w:bCs/>
                <w:szCs w:val="21"/>
              </w:rPr>
            </w:pPr>
            <w:r>
              <w:rPr>
                <w:rFonts w:ascii="宋体" w:hAnsi="宋体"/>
                <w:szCs w:val="21"/>
              </w:rPr>
              <w:t>2</w:t>
            </w:r>
            <w:r>
              <w:rPr>
                <w:rFonts w:hint="eastAsia" w:ascii="宋体" w:hAnsi="宋体"/>
                <w:szCs w:val="21"/>
              </w:rPr>
              <w:t>、要求原厂服务包含软件升级包、更新授权、以及远程升级指导服务，提供该软件版本配套的文档资料、用户手册，升级后用户将享有新版本软件的使用权利。</w:t>
            </w:r>
          </w:p>
          <w:p w14:paraId="6DFDEE9A">
            <w:pPr>
              <w:spacing w:line="360" w:lineRule="auto"/>
              <w:ind w:left="0" w:firstLine="0"/>
              <w:jc w:val="left"/>
              <w:rPr>
                <w:rFonts w:ascii="宋体" w:hAnsi="宋体"/>
                <w:szCs w:val="21"/>
              </w:rPr>
            </w:pPr>
            <w:r>
              <w:rPr>
                <w:rFonts w:ascii="宋体" w:hAnsi="宋体"/>
                <w:szCs w:val="21"/>
              </w:rPr>
              <w:t>*3、</w:t>
            </w:r>
            <w:r>
              <w:rPr>
                <w:rFonts w:hint="eastAsia" w:ascii="宋体" w:hAnsi="宋体"/>
                <w:szCs w:val="21"/>
              </w:rPr>
              <w:t>要求提供</w:t>
            </w:r>
            <w:r>
              <w:rPr>
                <w:rFonts w:ascii="宋体" w:hAnsi="宋体"/>
                <w:szCs w:val="21"/>
              </w:rPr>
              <w:t>各种安全特征库</w:t>
            </w:r>
            <w:r>
              <w:rPr>
                <w:rFonts w:hint="eastAsia" w:ascii="宋体" w:hAnsi="宋体"/>
                <w:szCs w:val="21"/>
              </w:rPr>
              <w:t>、</w:t>
            </w:r>
            <w:r>
              <w:rPr>
                <w:rFonts w:ascii="宋体" w:hAnsi="宋体"/>
                <w:szCs w:val="21"/>
              </w:rPr>
              <w:t>应用识别库和URL分类库的定期更新服务，</w:t>
            </w:r>
            <w:r>
              <w:rPr>
                <w:rFonts w:hint="eastAsia" w:ascii="宋体" w:hAnsi="宋体"/>
                <w:szCs w:val="21"/>
              </w:rPr>
              <w:t>保持WEB应用防火墙</w:t>
            </w:r>
            <w:r>
              <w:rPr>
                <w:rFonts w:ascii="宋体" w:hAnsi="宋体"/>
                <w:szCs w:val="21"/>
              </w:rPr>
              <w:t>具备监测并防御最新威胁的能力</w:t>
            </w:r>
            <w:r>
              <w:rPr>
                <w:rFonts w:hint="eastAsia" w:ascii="宋体" w:hAnsi="宋体"/>
                <w:szCs w:val="21"/>
              </w:rPr>
              <w:t>。</w:t>
            </w:r>
            <w:r>
              <w:rPr>
                <w:rFonts w:ascii="宋体" w:hAnsi="宋体"/>
                <w:szCs w:val="21"/>
              </w:rPr>
              <w:br w:type="textWrapping"/>
            </w:r>
            <w:r>
              <w:rPr>
                <w:rFonts w:hint="eastAsia" w:ascii="宋体" w:hAnsi="宋体"/>
                <w:szCs w:val="21"/>
              </w:rPr>
              <w:t>4、要求原厂提供每季度一次的日常巡检，包含规则库升级到最新版本，补丁修复。</w:t>
            </w:r>
          </w:p>
          <w:p w14:paraId="41B76C54">
            <w:pPr>
              <w:spacing w:line="360" w:lineRule="auto"/>
              <w:ind w:left="0" w:firstLine="0"/>
              <w:jc w:val="left"/>
              <w:rPr>
                <w:rFonts w:ascii="宋体" w:hAnsi="宋体" w:cs="仿宋"/>
                <w:szCs w:val="21"/>
              </w:rPr>
            </w:pPr>
            <w:r>
              <w:rPr>
                <w:rFonts w:hint="eastAsia" w:ascii="宋体" w:hAnsi="宋体" w:cs="仿宋"/>
                <w:szCs w:val="21"/>
              </w:rPr>
              <w:t>*</w:t>
            </w:r>
            <w:r>
              <w:rPr>
                <w:rFonts w:ascii="宋体" w:hAnsi="宋体" w:cs="仿宋"/>
                <w:szCs w:val="21"/>
              </w:rPr>
              <w:t>5</w:t>
            </w:r>
            <w:r>
              <w:rPr>
                <w:rFonts w:hint="eastAsia" w:ascii="宋体" w:hAnsi="宋体" w:cs="仿宋"/>
                <w:szCs w:val="21"/>
              </w:rPr>
              <w:t>、</w:t>
            </w:r>
            <w:r>
              <w:rPr>
                <w:rFonts w:hint="eastAsia" w:ascii="宋体" w:hAnsi="宋体" w:cs="仿宋"/>
                <w:kern w:val="0"/>
                <w:szCs w:val="21"/>
              </w:rPr>
              <w:t>要求提供原厂针对本项目的售后服务承诺函并加盖原厂公章</w:t>
            </w:r>
            <w:r>
              <w:rPr>
                <w:rFonts w:hint="eastAsia" w:ascii="宋体" w:hAnsi="宋体" w:cs="仿宋"/>
                <w:szCs w:val="21"/>
              </w:rPr>
              <w:t>。</w:t>
            </w:r>
          </w:p>
        </w:tc>
        <w:tc>
          <w:tcPr>
            <w:tcW w:w="703" w:type="dxa"/>
            <w:vAlign w:val="center"/>
          </w:tcPr>
          <w:p w14:paraId="34C39906">
            <w:pPr>
              <w:spacing w:line="360" w:lineRule="auto"/>
              <w:ind w:left="0" w:firstLine="0"/>
              <w:jc w:val="center"/>
              <w:rPr>
                <w:rFonts w:ascii="宋体" w:hAnsi="宋体"/>
                <w:b/>
                <w:bCs/>
                <w:szCs w:val="21"/>
              </w:rPr>
            </w:pPr>
            <w:r>
              <w:rPr>
                <w:rFonts w:hint="eastAsia" w:ascii="宋体" w:hAnsi="宋体"/>
                <w:szCs w:val="21"/>
              </w:rPr>
              <w:t>1台</w:t>
            </w:r>
          </w:p>
        </w:tc>
      </w:tr>
      <w:tr w14:paraId="4F33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Align w:val="center"/>
          </w:tcPr>
          <w:p w14:paraId="75A45787">
            <w:pPr>
              <w:spacing w:line="360" w:lineRule="auto"/>
              <w:ind w:left="0" w:firstLine="0"/>
              <w:jc w:val="center"/>
              <w:rPr>
                <w:rFonts w:ascii="宋体" w:hAnsi="宋体"/>
                <w:b/>
                <w:bCs/>
                <w:szCs w:val="21"/>
              </w:rPr>
            </w:pPr>
            <w:r>
              <w:rPr>
                <w:rFonts w:hint="eastAsia" w:ascii="宋体" w:hAnsi="宋体"/>
                <w:b/>
                <w:bCs/>
                <w:szCs w:val="21"/>
              </w:rPr>
              <w:t>3</w:t>
            </w:r>
          </w:p>
        </w:tc>
        <w:tc>
          <w:tcPr>
            <w:tcW w:w="1163" w:type="dxa"/>
            <w:vAlign w:val="center"/>
          </w:tcPr>
          <w:p w14:paraId="3CBEDD10">
            <w:pPr>
              <w:spacing w:line="360" w:lineRule="auto"/>
              <w:ind w:left="0" w:firstLine="0"/>
              <w:jc w:val="center"/>
              <w:rPr>
                <w:rFonts w:ascii="宋体" w:hAnsi="宋体"/>
                <w:b/>
                <w:bCs/>
                <w:szCs w:val="21"/>
              </w:rPr>
            </w:pPr>
            <w:r>
              <w:rPr>
                <w:rFonts w:hint="eastAsia" w:ascii="宋体" w:hAnsi="宋体"/>
                <w:szCs w:val="21"/>
              </w:rPr>
              <w:t>入侵防御检测系统续服</w:t>
            </w:r>
          </w:p>
        </w:tc>
        <w:tc>
          <w:tcPr>
            <w:tcW w:w="7174" w:type="dxa"/>
          </w:tcPr>
          <w:p w14:paraId="013394F2">
            <w:pPr>
              <w:spacing w:line="360" w:lineRule="auto"/>
              <w:ind w:left="0" w:firstLine="0"/>
              <w:jc w:val="left"/>
              <w:rPr>
                <w:rFonts w:ascii="宋体" w:hAnsi="宋体"/>
                <w:szCs w:val="21"/>
              </w:rPr>
            </w:pPr>
            <w:r>
              <w:rPr>
                <w:rFonts w:ascii="宋体" w:hAnsi="宋体"/>
                <w:szCs w:val="21"/>
              </w:rPr>
              <w:t>1</w:t>
            </w:r>
            <w:r>
              <w:rPr>
                <w:rFonts w:hint="eastAsia" w:ascii="宋体" w:hAnsi="宋体"/>
                <w:szCs w:val="21"/>
              </w:rPr>
              <w:t>、为保护医院免受病毒的侵袭和骚扰，提高网络环境的安全性，要求对清单内的</w:t>
            </w:r>
            <w:r>
              <w:rPr>
                <w:rFonts w:hint="eastAsia" w:ascii="宋体" w:hAnsi="宋体" w:cs="宋体"/>
                <w:color w:val="000000"/>
                <w:kern w:val="0"/>
                <w:sz w:val="22"/>
                <w:szCs w:val="22"/>
              </w:rPr>
              <w:t>锐捷</w:t>
            </w:r>
            <w:r>
              <w:rPr>
                <w:rFonts w:ascii="宋体" w:hAnsi="宋体" w:cs="宋体"/>
                <w:color w:val="000000"/>
                <w:kern w:val="0"/>
                <w:sz w:val="22"/>
                <w:szCs w:val="22"/>
              </w:rPr>
              <w:t xml:space="preserve"> RG-IDP 1000E W2.0</w:t>
            </w:r>
            <w:r>
              <w:rPr>
                <w:rFonts w:hint="eastAsia" w:ascii="宋体" w:hAnsi="宋体"/>
                <w:szCs w:val="21"/>
              </w:rPr>
              <w:t>入侵防御检测系统提供2年原厂特征库和软件升级服务。</w:t>
            </w:r>
          </w:p>
          <w:p w14:paraId="32E5AB22">
            <w:pPr>
              <w:spacing w:line="360" w:lineRule="auto"/>
              <w:ind w:left="0" w:firstLine="0"/>
              <w:jc w:val="left"/>
              <w:rPr>
                <w:rFonts w:ascii="宋体" w:hAnsi="宋体"/>
                <w:b/>
                <w:bCs/>
                <w:szCs w:val="21"/>
              </w:rPr>
            </w:pPr>
            <w:r>
              <w:rPr>
                <w:rFonts w:ascii="宋体" w:hAnsi="宋体"/>
                <w:szCs w:val="21"/>
              </w:rPr>
              <w:t>2</w:t>
            </w:r>
            <w:r>
              <w:rPr>
                <w:rFonts w:hint="eastAsia" w:ascii="宋体" w:hAnsi="宋体"/>
                <w:szCs w:val="21"/>
              </w:rPr>
              <w:t>、要求原厂服务含软件升级包、更新授权、以及远程升级指导服务，提供该软件版本配套的文档资料、用户手册，升级后用户将享有新版本软件的使用权利。</w:t>
            </w:r>
          </w:p>
          <w:p w14:paraId="2FE2F911">
            <w:pPr>
              <w:spacing w:line="360" w:lineRule="auto"/>
              <w:ind w:left="0" w:firstLine="0"/>
              <w:jc w:val="left"/>
              <w:rPr>
                <w:rFonts w:ascii="宋体" w:hAnsi="宋体"/>
                <w:szCs w:val="21"/>
              </w:rPr>
            </w:pPr>
            <w:r>
              <w:rPr>
                <w:rFonts w:ascii="宋体" w:hAnsi="宋体"/>
                <w:szCs w:val="21"/>
              </w:rPr>
              <w:t>*3、</w:t>
            </w:r>
            <w:r>
              <w:rPr>
                <w:rFonts w:hint="eastAsia" w:ascii="宋体" w:hAnsi="宋体"/>
                <w:szCs w:val="21"/>
              </w:rPr>
              <w:t>要求提供</w:t>
            </w:r>
            <w:r>
              <w:rPr>
                <w:rFonts w:ascii="宋体" w:hAnsi="宋体"/>
                <w:szCs w:val="21"/>
              </w:rPr>
              <w:t>各种安全特征库</w:t>
            </w:r>
            <w:r>
              <w:rPr>
                <w:rFonts w:hint="eastAsia" w:ascii="宋体" w:hAnsi="宋体"/>
                <w:szCs w:val="21"/>
              </w:rPr>
              <w:t>、</w:t>
            </w:r>
            <w:r>
              <w:rPr>
                <w:rFonts w:ascii="宋体" w:hAnsi="宋体"/>
                <w:szCs w:val="21"/>
              </w:rPr>
              <w:t>应用识别库和URL分类库的定期更新服务，</w:t>
            </w:r>
            <w:r>
              <w:rPr>
                <w:rFonts w:hint="eastAsia" w:ascii="宋体" w:hAnsi="宋体"/>
                <w:szCs w:val="21"/>
              </w:rPr>
              <w:t>保持入侵防御检测系统</w:t>
            </w:r>
            <w:r>
              <w:rPr>
                <w:rFonts w:ascii="宋体" w:hAnsi="宋体"/>
                <w:szCs w:val="21"/>
              </w:rPr>
              <w:t>具备监测并防御最新威胁的能力</w:t>
            </w:r>
            <w:r>
              <w:rPr>
                <w:rFonts w:hint="eastAsia" w:ascii="宋体" w:hAnsi="宋体"/>
                <w:szCs w:val="21"/>
              </w:rPr>
              <w:t>。</w:t>
            </w:r>
          </w:p>
          <w:p w14:paraId="3179CB9E">
            <w:pPr>
              <w:spacing w:line="360" w:lineRule="auto"/>
              <w:ind w:left="0" w:firstLine="0"/>
              <w:jc w:val="left"/>
              <w:rPr>
                <w:rFonts w:ascii="宋体" w:hAnsi="宋体"/>
                <w:szCs w:val="21"/>
              </w:rPr>
            </w:pPr>
            <w:bookmarkStart w:id="10" w:name="OLE_LINK14"/>
            <w:r>
              <w:rPr>
                <w:rFonts w:ascii="宋体" w:hAnsi="宋体"/>
                <w:szCs w:val="21"/>
              </w:rPr>
              <w:t>4</w:t>
            </w:r>
            <w:r>
              <w:rPr>
                <w:rFonts w:hint="eastAsia" w:ascii="宋体" w:hAnsi="宋体"/>
                <w:szCs w:val="21"/>
              </w:rPr>
              <w:t>、要求原厂提供每季度一次的日常巡检，包含规则库升级到最新版本，补丁修复。</w:t>
            </w:r>
          </w:p>
          <w:p w14:paraId="288544B4">
            <w:pPr>
              <w:spacing w:line="360" w:lineRule="auto"/>
              <w:ind w:left="0" w:firstLine="0"/>
              <w:jc w:val="left"/>
              <w:rPr>
                <w:rFonts w:ascii="宋体" w:hAnsi="宋体" w:cs="仿宋"/>
                <w:szCs w:val="21"/>
              </w:rPr>
            </w:pPr>
            <w:r>
              <w:rPr>
                <w:rFonts w:hint="eastAsia" w:ascii="宋体" w:hAnsi="宋体" w:cs="仿宋"/>
                <w:szCs w:val="21"/>
              </w:rPr>
              <w:t>*</w:t>
            </w:r>
            <w:r>
              <w:rPr>
                <w:rFonts w:ascii="宋体" w:hAnsi="宋体" w:cs="仿宋"/>
                <w:szCs w:val="21"/>
              </w:rPr>
              <w:t>5</w:t>
            </w:r>
            <w:r>
              <w:rPr>
                <w:rFonts w:hint="eastAsia" w:ascii="宋体" w:hAnsi="宋体" w:cs="仿宋"/>
                <w:szCs w:val="21"/>
              </w:rPr>
              <w:t>、</w:t>
            </w:r>
            <w:r>
              <w:rPr>
                <w:rFonts w:hint="eastAsia" w:ascii="宋体" w:hAnsi="宋体" w:cs="仿宋"/>
                <w:kern w:val="0"/>
                <w:szCs w:val="21"/>
              </w:rPr>
              <w:t>要求提供原厂针对本项目的售后服务承诺函并加盖原厂公章</w:t>
            </w:r>
            <w:r>
              <w:rPr>
                <w:rFonts w:hint="eastAsia" w:ascii="宋体" w:hAnsi="宋体" w:cs="仿宋"/>
                <w:szCs w:val="21"/>
              </w:rPr>
              <w:t>。</w:t>
            </w:r>
            <w:bookmarkEnd w:id="10"/>
          </w:p>
        </w:tc>
        <w:tc>
          <w:tcPr>
            <w:tcW w:w="703" w:type="dxa"/>
            <w:vAlign w:val="center"/>
          </w:tcPr>
          <w:p w14:paraId="1BA9767C">
            <w:pPr>
              <w:spacing w:line="360" w:lineRule="auto"/>
              <w:ind w:left="0" w:firstLine="0"/>
              <w:jc w:val="center"/>
              <w:rPr>
                <w:rFonts w:ascii="宋体" w:hAnsi="宋体"/>
                <w:szCs w:val="21"/>
              </w:rPr>
            </w:pPr>
            <w:r>
              <w:rPr>
                <w:rFonts w:hint="eastAsia" w:ascii="宋体" w:hAnsi="宋体"/>
                <w:szCs w:val="21"/>
              </w:rPr>
              <w:t>1台</w:t>
            </w:r>
          </w:p>
        </w:tc>
      </w:tr>
      <w:tr w14:paraId="732A8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Align w:val="center"/>
          </w:tcPr>
          <w:p w14:paraId="7C51D6A2">
            <w:pPr>
              <w:spacing w:line="360" w:lineRule="auto"/>
              <w:ind w:left="0" w:firstLine="0"/>
              <w:jc w:val="center"/>
              <w:rPr>
                <w:rFonts w:ascii="宋体" w:hAnsi="宋体"/>
                <w:b/>
                <w:bCs/>
                <w:szCs w:val="21"/>
              </w:rPr>
            </w:pPr>
            <w:r>
              <w:rPr>
                <w:rFonts w:hint="eastAsia" w:ascii="宋体" w:hAnsi="宋体"/>
                <w:b/>
                <w:bCs/>
                <w:szCs w:val="21"/>
              </w:rPr>
              <w:t>4</w:t>
            </w:r>
          </w:p>
        </w:tc>
        <w:tc>
          <w:tcPr>
            <w:tcW w:w="1163" w:type="dxa"/>
            <w:vAlign w:val="center"/>
          </w:tcPr>
          <w:p w14:paraId="6AA3F265">
            <w:pPr>
              <w:spacing w:line="360" w:lineRule="auto"/>
              <w:ind w:left="0" w:firstLine="0"/>
              <w:jc w:val="center"/>
              <w:rPr>
                <w:rFonts w:ascii="宋体" w:hAnsi="宋体"/>
                <w:b/>
                <w:bCs/>
                <w:szCs w:val="21"/>
              </w:rPr>
            </w:pPr>
            <w:r>
              <w:rPr>
                <w:rFonts w:hint="eastAsia" w:ascii="宋体" w:hAnsi="宋体"/>
                <w:szCs w:val="21"/>
              </w:rPr>
              <w:t>上网行为审计续服</w:t>
            </w:r>
          </w:p>
        </w:tc>
        <w:tc>
          <w:tcPr>
            <w:tcW w:w="7174" w:type="dxa"/>
          </w:tcPr>
          <w:p w14:paraId="2E96FC1C">
            <w:pPr>
              <w:spacing w:line="360" w:lineRule="auto"/>
              <w:ind w:left="0" w:firstLine="0"/>
              <w:jc w:val="left"/>
              <w:rPr>
                <w:rFonts w:ascii="宋体" w:hAnsi="宋体"/>
                <w:szCs w:val="21"/>
              </w:rPr>
            </w:pPr>
            <w:r>
              <w:rPr>
                <w:rFonts w:ascii="宋体" w:hAnsi="宋体"/>
                <w:szCs w:val="21"/>
              </w:rPr>
              <w:t>1</w:t>
            </w:r>
            <w:r>
              <w:rPr>
                <w:rFonts w:hint="eastAsia" w:ascii="宋体" w:hAnsi="宋体"/>
                <w:szCs w:val="21"/>
              </w:rPr>
              <w:t>、为保护医院免受病毒的侵袭和骚扰，提高网络环境的安全性，要求清单内的</w:t>
            </w:r>
            <w:r>
              <w:rPr>
                <w:rFonts w:hint="eastAsia" w:ascii="宋体" w:hAnsi="宋体" w:cs="宋体"/>
                <w:color w:val="000000"/>
                <w:kern w:val="0"/>
                <w:sz w:val="22"/>
                <w:szCs w:val="22"/>
              </w:rPr>
              <w:t>锐捷</w:t>
            </w:r>
            <w:r>
              <w:rPr>
                <w:rFonts w:ascii="宋体" w:hAnsi="宋体" w:cs="宋体"/>
                <w:color w:val="000000"/>
                <w:kern w:val="0"/>
                <w:sz w:val="22"/>
                <w:szCs w:val="22"/>
              </w:rPr>
              <w:t>RG-UAC 6000-E50M</w:t>
            </w:r>
            <w:r>
              <w:rPr>
                <w:rFonts w:hint="eastAsia" w:ascii="宋体" w:hAnsi="宋体"/>
                <w:szCs w:val="21"/>
              </w:rPr>
              <w:t>上网行为审计设备提供2年原厂特征库和软件升级服务。</w:t>
            </w:r>
          </w:p>
          <w:p w14:paraId="71529BD4">
            <w:pPr>
              <w:spacing w:line="360" w:lineRule="auto"/>
              <w:ind w:left="0" w:firstLine="0"/>
              <w:jc w:val="left"/>
              <w:rPr>
                <w:rFonts w:ascii="宋体" w:hAnsi="宋体"/>
                <w:b/>
                <w:bCs/>
                <w:szCs w:val="21"/>
              </w:rPr>
            </w:pPr>
            <w:r>
              <w:rPr>
                <w:rFonts w:ascii="宋体" w:hAnsi="宋体"/>
                <w:szCs w:val="21"/>
              </w:rPr>
              <w:t>2</w:t>
            </w:r>
            <w:r>
              <w:rPr>
                <w:rFonts w:hint="eastAsia" w:ascii="宋体" w:hAnsi="宋体"/>
                <w:szCs w:val="21"/>
              </w:rPr>
              <w:t>、要求原厂服务包含软件升级包、更新授权、以及远程升级指导服务，提供该软件版本配套的文档资料、用户手册，升级后用户将享有新版本软件的使用权利。</w:t>
            </w:r>
          </w:p>
          <w:p w14:paraId="0931162B">
            <w:pPr>
              <w:spacing w:line="360" w:lineRule="auto"/>
              <w:ind w:left="0" w:firstLine="0"/>
              <w:jc w:val="left"/>
              <w:rPr>
                <w:rFonts w:ascii="宋体" w:hAnsi="宋体"/>
                <w:szCs w:val="21"/>
              </w:rPr>
            </w:pPr>
            <w:r>
              <w:rPr>
                <w:rFonts w:ascii="宋体" w:hAnsi="宋体"/>
                <w:szCs w:val="21"/>
              </w:rPr>
              <w:t>*3、</w:t>
            </w:r>
            <w:r>
              <w:rPr>
                <w:rFonts w:hint="eastAsia" w:ascii="宋体" w:hAnsi="宋体"/>
                <w:szCs w:val="21"/>
              </w:rPr>
              <w:t>要求提供</w:t>
            </w:r>
            <w:r>
              <w:rPr>
                <w:rFonts w:ascii="宋体" w:hAnsi="宋体"/>
                <w:szCs w:val="21"/>
              </w:rPr>
              <w:t>各种安全特征库</w:t>
            </w:r>
            <w:r>
              <w:rPr>
                <w:rFonts w:hint="eastAsia" w:ascii="宋体" w:hAnsi="宋体"/>
                <w:szCs w:val="21"/>
              </w:rPr>
              <w:t>、</w:t>
            </w:r>
            <w:r>
              <w:rPr>
                <w:rFonts w:ascii="宋体" w:hAnsi="宋体"/>
                <w:szCs w:val="21"/>
              </w:rPr>
              <w:t>应用识别库和URL分类库的定期更新服务，</w:t>
            </w:r>
            <w:r>
              <w:rPr>
                <w:rFonts w:hint="eastAsia" w:ascii="宋体" w:hAnsi="宋体"/>
                <w:szCs w:val="21"/>
              </w:rPr>
              <w:t>保持上网行为审计</w:t>
            </w:r>
            <w:r>
              <w:rPr>
                <w:rFonts w:ascii="宋体" w:hAnsi="宋体"/>
                <w:szCs w:val="21"/>
              </w:rPr>
              <w:t>具备监测并防御最新威胁的能力</w:t>
            </w:r>
            <w:r>
              <w:rPr>
                <w:rFonts w:hint="eastAsia" w:ascii="宋体" w:hAnsi="宋体"/>
                <w:szCs w:val="21"/>
              </w:rPr>
              <w:t>。</w:t>
            </w:r>
          </w:p>
          <w:p w14:paraId="3B2C36BB">
            <w:pPr>
              <w:spacing w:line="360" w:lineRule="auto"/>
              <w:ind w:left="0" w:firstLine="0"/>
              <w:jc w:val="left"/>
              <w:rPr>
                <w:rFonts w:ascii="宋体" w:hAnsi="宋体"/>
                <w:szCs w:val="21"/>
              </w:rPr>
            </w:pPr>
            <w:r>
              <w:rPr>
                <w:rFonts w:ascii="宋体" w:hAnsi="宋体"/>
                <w:szCs w:val="21"/>
              </w:rPr>
              <w:t>4</w:t>
            </w:r>
            <w:r>
              <w:rPr>
                <w:rFonts w:hint="eastAsia" w:ascii="宋体" w:hAnsi="宋体"/>
                <w:szCs w:val="21"/>
              </w:rPr>
              <w:t>、要求原厂提供每季度一次的日常巡检，包含规则库升级到最新版本，补丁修复。</w:t>
            </w:r>
          </w:p>
          <w:p w14:paraId="2A3C65DF">
            <w:pPr>
              <w:spacing w:line="360" w:lineRule="auto"/>
              <w:ind w:left="0" w:firstLine="0"/>
              <w:jc w:val="left"/>
              <w:rPr>
                <w:rFonts w:ascii="宋体" w:hAnsi="宋体"/>
                <w:szCs w:val="21"/>
              </w:rPr>
            </w:pPr>
            <w:r>
              <w:rPr>
                <w:rFonts w:hint="eastAsia" w:ascii="宋体" w:hAnsi="宋体" w:cs="仿宋"/>
                <w:szCs w:val="21"/>
              </w:rPr>
              <w:t>*</w:t>
            </w:r>
            <w:r>
              <w:rPr>
                <w:rFonts w:ascii="宋体" w:hAnsi="宋体" w:cs="仿宋"/>
                <w:szCs w:val="21"/>
              </w:rPr>
              <w:t>5</w:t>
            </w:r>
            <w:r>
              <w:rPr>
                <w:rFonts w:hint="eastAsia" w:ascii="宋体" w:hAnsi="宋体" w:cs="仿宋"/>
                <w:szCs w:val="21"/>
              </w:rPr>
              <w:t>、</w:t>
            </w:r>
            <w:r>
              <w:rPr>
                <w:rFonts w:hint="eastAsia" w:ascii="宋体" w:hAnsi="宋体" w:cs="仿宋"/>
                <w:kern w:val="0"/>
                <w:szCs w:val="21"/>
              </w:rPr>
              <w:t>要求提供原厂针对本项目的售后服务承诺函并加盖原厂公章</w:t>
            </w:r>
            <w:r>
              <w:rPr>
                <w:rFonts w:hint="eastAsia" w:ascii="宋体" w:hAnsi="宋体" w:cs="仿宋"/>
                <w:szCs w:val="21"/>
              </w:rPr>
              <w:t>。</w:t>
            </w:r>
          </w:p>
        </w:tc>
        <w:tc>
          <w:tcPr>
            <w:tcW w:w="703" w:type="dxa"/>
            <w:vAlign w:val="center"/>
          </w:tcPr>
          <w:p w14:paraId="6A1CEFDB">
            <w:pPr>
              <w:spacing w:line="360" w:lineRule="auto"/>
              <w:ind w:left="0" w:firstLine="0"/>
              <w:jc w:val="center"/>
              <w:rPr>
                <w:rFonts w:ascii="宋体" w:hAnsi="宋体"/>
                <w:b/>
                <w:bCs/>
                <w:szCs w:val="21"/>
              </w:rPr>
            </w:pPr>
            <w:r>
              <w:rPr>
                <w:rFonts w:hint="eastAsia" w:ascii="宋体" w:hAnsi="宋体"/>
                <w:szCs w:val="21"/>
              </w:rPr>
              <w:t>1台</w:t>
            </w:r>
          </w:p>
        </w:tc>
      </w:tr>
      <w:tr w14:paraId="40F6C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Align w:val="center"/>
          </w:tcPr>
          <w:p w14:paraId="41B86FC9">
            <w:pPr>
              <w:spacing w:line="360" w:lineRule="auto"/>
              <w:ind w:left="0" w:firstLine="0"/>
              <w:jc w:val="center"/>
              <w:rPr>
                <w:rFonts w:ascii="宋体" w:hAnsi="宋体"/>
                <w:szCs w:val="21"/>
              </w:rPr>
            </w:pPr>
            <w:r>
              <w:rPr>
                <w:rFonts w:hint="eastAsia" w:ascii="宋体" w:hAnsi="宋体"/>
                <w:szCs w:val="21"/>
              </w:rPr>
              <w:t>5</w:t>
            </w:r>
          </w:p>
        </w:tc>
        <w:tc>
          <w:tcPr>
            <w:tcW w:w="1163" w:type="dxa"/>
            <w:vAlign w:val="center"/>
          </w:tcPr>
          <w:p w14:paraId="5BA548B6">
            <w:pPr>
              <w:spacing w:line="360" w:lineRule="auto"/>
              <w:ind w:left="0" w:firstLine="0"/>
              <w:jc w:val="center"/>
              <w:rPr>
                <w:rFonts w:ascii="宋体" w:hAnsi="宋体"/>
                <w:b/>
                <w:bCs/>
                <w:szCs w:val="21"/>
              </w:rPr>
            </w:pPr>
            <w:r>
              <w:rPr>
                <w:rFonts w:hint="eastAsia" w:ascii="宋体" w:hAnsi="宋体"/>
                <w:szCs w:val="21"/>
              </w:rPr>
              <w:t>日志分析专家续服</w:t>
            </w:r>
          </w:p>
        </w:tc>
        <w:tc>
          <w:tcPr>
            <w:tcW w:w="7174" w:type="dxa"/>
          </w:tcPr>
          <w:p w14:paraId="6EE34E06">
            <w:pPr>
              <w:spacing w:line="360" w:lineRule="auto"/>
              <w:ind w:left="0" w:firstLine="0"/>
              <w:jc w:val="left"/>
              <w:rPr>
                <w:rFonts w:ascii="宋体" w:hAnsi="宋体"/>
                <w:szCs w:val="21"/>
              </w:rPr>
            </w:pPr>
            <w:r>
              <w:rPr>
                <w:rFonts w:ascii="宋体" w:hAnsi="宋体"/>
                <w:szCs w:val="21"/>
              </w:rPr>
              <w:t>1</w:t>
            </w:r>
            <w:r>
              <w:rPr>
                <w:rFonts w:hint="eastAsia" w:ascii="宋体" w:hAnsi="宋体"/>
                <w:szCs w:val="21"/>
              </w:rPr>
              <w:t>、为保护医院免受病毒的侵袭和骚扰，提高网络环境的安全性，要求对清单内的</w:t>
            </w:r>
            <w:r>
              <w:rPr>
                <w:rFonts w:hint="eastAsia" w:ascii="宋体" w:hAnsi="宋体" w:cs="宋体"/>
                <w:color w:val="000000"/>
                <w:kern w:val="0"/>
                <w:sz w:val="22"/>
                <w:szCs w:val="22"/>
              </w:rPr>
              <w:t>锐捷</w:t>
            </w:r>
            <w:r>
              <w:rPr>
                <w:rFonts w:ascii="宋体" w:hAnsi="宋体" w:cs="宋体"/>
                <w:color w:val="000000"/>
                <w:kern w:val="0"/>
                <w:sz w:val="22"/>
                <w:szCs w:val="22"/>
              </w:rPr>
              <w:t>RG-BDS 5000E-A</w:t>
            </w:r>
            <w:r>
              <w:rPr>
                <w:rFonts w:hint="eastAsia" w:ascii="宋体" w:hAnsi="宋体"/>
                <w:szCs w:val="21"/>
              </w:rPr>
              <w:t>日志分析专家提供2年原厂特征库和软件升级服务。</w:t>
            </w:r>
          </w:p>
          <w:p w14:paraId="21352934">
            <w:pPr>
              <w:spacing w:line="360" w:lineRule="auto"/>
              <w:ind w:left="0" w:firstLine="0"/>
              <w:jc w:val="left"/>
              <w:rPr>
                <w:rFonts w:ascii="宋体" w:hAnsi="宋体"/>
                <w:b/>
                <w:bCs/>
                <w:szCs w:val="21"/>
              </w:rPr>
            </w:pPr>
            <w:r>
              <w:rPr>
                <w:rFonts w:ascii="宋体" w:hAnsi="宋体"/>
                <w:szCs w:val="21"/>
              </w:rPr>
              <w:t>2</w:t>
            </w:r>
            <w:r>
              <w:rPr>
                <w:rFonts w:hint="eastAsia" w:ascii="宋体" w:hAnsi="宋体"/>
                <w:szCs w:val="21"/>
              </w:rPr>
              <w:t>、要求原厂服务包含软件升级包、更新授权、以及远程升级指导服务，提供该软件版本配套的文档资料、用户手册，升级后用户将享有新版本软件的使用权利。</w:t>
            </w:r>
          </w:p>
          <w:p w14:paraId="0F7A6E76">
            <w:pPr>
              <w:spacing w:line="360" w:lineRule="auto"/>
              <w:ind w:left="0" w:firstLine="0"/>
              <w:jc w:val="left"/>
              <w:rPr>
                <w:rFonts w:ascii="宋体" w:hAnsi="宋体"/>
                <w:szCs w:val="21"/>
              </w:rPr>
            </w:pPr>
            <w:r>
              <w:rPr>
                <w:rFonts w:ascii="宋体" w:hAnsi="宋体"/>
                <w:szCs w:val="21"/>
              </w:rPr>
              <w:t>*3、</w:t>
            </w:r>
            <w:r>
              <w:rPr>
                <w:rFonts w:hint="eastAsia" w:ascii="宋体" w:hAnsi="宋体"/>
                <w:szCs w:val="21"/>
              </w:rPr>
              <w:t>要求提供</w:t>
            </w:r>
            <w:r>
              <w:rPr>
                <w:rFonts w:ascii="宋体" w:hAnsi="宋体"/>
                <w:szCs w:val="21"/>
              </w:rPr>
              <w:t>各种安全特征库</w:t>
            </w:r>
            <w:r>
              <w:rPr>
                <w:rFonts w:hint="eastAsia" w:ascii="宋体" w:hAnsi="宋体"/>
                <w:szCs w:val="21"/>
              </w:rPr>
              <w:t>、</w:t>
            </w:r>
            <w:r>
              <w:rPr>
                <w:rFonts w:ascii="宋体" w:hAnsi="宋体"/>
                <w:szCs w:val="21"/>
              </w:rPr>
              <w:t>应用识别库和URL分类库的定期更新服务，</w:t>
            </w:r>
            <w:r>
              <w:rPr>
                <w:rFonts w:hint="eastAsia" w:ascii="宋体" w:hAnsi="宋体"/>
                <w:szCs w:val="21"/>
              </w:rPr>
              <w:t>保持日志分析专家</w:t>
            </w:r>
            <w:r>
              <w:rPr>
                <w:rFonts w:ascii="宋体" w:hAnsi="宋体"/>
                <w:szCs w:val="21"/>
              </w:rPr>
              <w:t>具备监测并防御最新威胁的能力</w:t>
            </w:r>
            <w:r>
              <w:rPr>
                <w:rFonts w:hint="eastAsia" w:ascii="宋体" w:hAnsi="宋体"/>
                <w:szCs w:val="21"/>
              </w:rPr>
              <w:t>。</w:t>
            </w:r>
          </w:p>
          <w:p w14:paraId="66EC4BAE">
            <w:pPr>
              <w:spacing w:line="360" w:lineRule="auto"/>
              <w:ind w:left="0" w:firstLine="0"/>
              <w:jc w:val="left"/>
              <w:rPr>
                <w:rFonts w:ascii="宋体" w:hAnsi="宋体"/>
                <w:szCs w:val="21"/>
              </w:rPr>
            </w:pPr>
            <w:r>
              <w:rPr>
                <w:rFonts w:hint="eastAsia" w:ascii="宋体" w:hAnsi="宋体"/>
                <w:szCs w:val="21"/>
              </w:rPr>
              <w:t>4、要求原厂提供每季度一次的日常巡检，包含规则库升级到最新版本，补丁修复。</w:t>
            </w:r>
          </w:p>
          <w:p w14:paraId="12202F80">
            <w:pPr>
              <w:spacing w:line="360" w:lineRule="auto"/>
              <w:ind w:left="0" w:firstLine="0"/>
              <w:rPr>
                <w:rFonts w:ascii="宋体" w:hAnsi="宋体"/>
                <w:szCs w:val="21"/>
              </w:rPr>
            </w:pPr>
            <w:r>
              <w:rPr>
                <w:rFonts w:hint="eastAsia" w:ascii="宋体" w:hAnsi="宋体" w:cs="仿宋"/>
                <w:szCs w:val="21"/>
              </w:rPr>
              <w:t>*5、</w:t>
            </w:r>
            <w:r>
              <w:rPr>
                <w:rFonts w:hint="eastAsia" w:ascii="宋体" w:hAnsi="宋体" w:cs="仿宋"/>
                <w:kern w:val="0"/>
                <w:szCs w:val="21"/>
              </w:rPr>
              <w:t>要求提供原厂针对本项目的售后服务承诺函并加盖原厂公章。</w:t>
            </w:r>
          </w:p>
        </w:tc>
        <w:tc>
          <w:tcPr>
            <w:tcW w:w="703" w:type="dxa"/>
            <w:vAlign w:val="center"/>
          </w:tcPr>
          <w:p w14:paraId="77CAFA71">
            <w:pPr>
              <w:spacing w:line="360" w:lineRule="auto"/>
              <w:ind w:left="0" w:firstLine="0"/>
              <w:jc w:val="center"/>
              <w:rPr>
                <w:rFonts w:ascii="宋体" w:hAnsi="宋体"/>
                <w:b/>
                <w:bCs/>
                <w:szCs w:val="21"/>
              </w:rPr>
            </w:pPr>
            <w:r>
              <w:rPr>
                <w:rFonts w:hint="eastAsia" w:ascii="宋体" w:hAnsi="宋体"/>
                <w:szCs w:val="21"/>
              </w:rPr>
              <w:t>1台</w:t>
            </w:r>
          </w:p>
        </w:tc>
      </w:tr>
      <w:tr w14:paraId="1928A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Align w:val="center"/>
          </w:tcPr>
          <w:p w14:paraId="55A5A941">
            <w:pPr>
              <w:spacing w:line="360" w:lineRule="auto"/>
              <w:ind w:left="0" w:firstLine="0"/>
              <w:jc w:val="center"/>
              <w:rPr>
                <w:rFonts w:ascii="宋体" w:hAnsi="宋体"/>
                <w:szCs w:val="21"/>
              </w:rPr>
            </w:pPr>
            <w:r>
              <w:rPr>
                <w:rFonts w:hint="eastAsia" w:ascii="宋体" w:hAnsi="宋体"/>
                <w:szCs w:val="21"/>
              </w:rPr>
              <w:t>6</w:t>
            </w:r>
          </w:p>
        </w:tc>
        <w:tc>
          <w:tcPr>
            <w:tcW w:w="1163" w:type="dxa"/>
            <w:vAlign w:val="center"/>
          </w:tcPr>
          <w:p w14:paraId="4F5B1328">
            <w:pPr>
              <w:spacing w:line="360" w:lineRule="auto"/>
              <w:ind w:left="0" w:firstLine="0"/>
              <w:jc w:val="center"/>
              <w:rPr>
                <w:rFonts w:ascii="宋体" w:hAnsi="宋体"/>
                <w:szCs w:val="21"/>
              </w:rPr>
            </w:pPr>
            <w:r>
              <w:rPr>
                <w:rFonts w:hint="eastAsia" w:ascii="宋体" w:hAnsi="宋体"/>
                <w:szCs w:val="21"/>
              </w:rPr>
              <w:t>千兆流量探针续服</w:t>
            </w:r>
          </w:p>
        </w:tc>
        <w:tc>
          <w:tcPr>
            <w:tcW w:w="7174" w:type="dxa"/>
          </w:tcPr>
          <w:p w14:paraId="73FAB8A0">
            <w:pPr>
              <w:spacing w:line="360" w:lineRule="auto"/>
              <w:ind w:left="0" w:firstLine="0"/>
              <w:jc w:val="left"/>
              <w:rPr>
                <w:rFonts w:ascii="宋体" w:hAnsi="宋体"/>
                <w:szCs w:val="21"/>
              </w:rPr>
            </w:pPr>
            <w:r>
              <w:rPr>
                <w:rFonts w:ascii="宋体" w:hAnsi="宋体"/>
                <w:szCs w:val="21"/>
              </w:rPr>
              <w:t>1</w:t>
            </w:r>
            <w:r>
              <w:rPr>
                <w:rFonts w:hint="eastAsia" w:ascii="宋体" w:hAnsi="宋体"/>
                <w:szCs w:val="21"/>
              </w:rPr>
              <w:t>、为保护医院免受病毒的侵袭和骚扰，提高网络环境的安全性，要求对清单内的</w:t>
            </w:r>
            <w:r>
              <w:rPr>
                <w:rFonts w:hint="eastAsia" w:ascii="宋体" w:hAnsi="宋体" w:cs="宋体"/>
                <w:color w:val="000000"/>
                <w:kern w:val="0"/>
                <w:sz w:val="22"/>
                <w:szCs w:val="22"/>
              </w:rPr>
              <w:t>锐捷</w:t>
            </w:r>
            <w:r>
              <w:rPr>
                <w:rFonts w:ascii="宋体" w:hAnsi="宋体" w:cs="宋体"/>
                <w:color w:val="000000"/>
                <w:kern w:val="0"/>
                <w:sz w:val="22"/>
                <w:szCs w:val="22"/>
              </w:rPr>
              <w:t>RG-BDS-TSP G1</w:t>
            </w:r>
            <w:r>
              <w:rPr>
                <w:rFonts w:hint="eastAsia" w:ascii="宋体" w:hAnsi="宋体"/>
                <w:szCs w:val="21"/>
              </w:rPr>
              <w:t>千兆流量探针提供2年原厂特征库和软件升级服务。</w:t>
            </w:r>
          </w:p>
          <w:p w14:paraId="7489BCD2">
            <w:pPr>
              <w:spacing w:line="360" w:lineRule="auto"/>
              <w:ind w:left="0" w:firstLine="0"/>
              <w:jc w:val="left"/>
              <w:rPr>
                <w:rFonts w:ascii="宋体" w:hAnsi="宋体"/>
                <w:b/>
                <w:bCs/>
                <w:szCs w:val="21"/>
              </w:rPr>
            </w:pPr>
            <w:r>
              <w:rPr>
                <w:rFonts w:ascii="宋体" w:hAnsi="宋体"/>
                <w:szCs w:val="21"/>
              </w:rPr>
              <w:t>2</w:t>
            </w:r>
            <w:r>
              <w:rPr>
                <w:rFonts w:hint="eastAsia" w:ascii="宋体" w:hAnsi="宋体"/>
                <w:szCs w:val="21"/>
              </w:rPr>
              <w:t>、要求原厂服务包含软件升级包、更新授权、以及远程升级指导服务，提供该软件版本配套的文档资料、用户手册，升级后用户将享有新版本软件的使用权利。</w:t>
            </w:r>
          </w:p>
          <w:p w14:paraId="631DB74D">
            <w:pPr>
              <w:spacing w:line="360" w:lineRule="auto"/>
              <w:ind w:left="0" w:firstLine="0"/>
              <w:jc w:val="left"/>
              <w:rPr>
                <w:rFonts w:ascii="宋体" w:hAnsi="宋体"/>
                <w:szCs w:val="21"/>
              </w:rPr>
            </w:pPr>
            <w:r>
              <w:rPr>
                <w:rFonts w:ascii="宋体" w:hAnsi="宋体"/>
                <w:szCs w:val="21"/>
              </w:rPr>
              <w:t>*3、</w:t>
            </w:r>
            <w:r>
              <w:rPr>
                <w:rFonts w:hint="eastAsia" w:ascii="宋体" w:hAnsi="宋体"/>
                <w:szCs w:val="21"/>
              </w:rPr>
              <w:t>要求提供</w:t>
            </w:r>
            <w:r>
              <w:rPr>
                <w:rFonts w:ascii="宋体" w:hAnsi="宋体"/>
                <w:szCs w:val="21"/>
              </w:rPr>
              <w:t>各种安全特征库</w:t>
            </w:r>
            <w:r>
              <w:rPr>
                <w:rFonts w:hint="eastAsia" w:ascii="宋体" w:hAnsi="宋体"/>
                <w:szCs w:val="21"/>
              </w:rPr>
              <w:t>、</w:t>
            </w:r>
            <w:r>
              <w:rPr>
                <w:rFonts w:ascii="宋体" w:hAnsi="宋体"/>
                <w:szCs w:val="21"/>
              </w:rPr>
              <w:t>应用识别库和URL分类库的定期更新服务，</w:t>
            </w:r>
            <w:r>
              <w:rPr>
                <w:rFonts w:hint="eastAsia" w:ascii="宋体" w:hAnsi="宋体"/>
                <w:szCs w:val="21"/>
              </w:rPr>
              <w:t>保持千兆流量探针</w:t>
            </w:r>
            <w:r>
              <w:rPr>
                <w:rFonts w:ascii="宋体" w:hAnsi="宋体"/>
                <w:szCs w:val="21"/>
              </w:rPr>
              <w:t>具备监测并防御最新威胁的能力</w:t>
            </w:r>
            <w:r>
              <w:rPr>
                <w:rFonts w:hint="eastAsia" w:ascii="宋体" w:hAnsi="宋体"/>
                <w:szCs w:val="21"/>
              </w:rPr>
              <w:t>。</w:t>
            </w:r>
          </w:p>
          <w:p w14:paraId="060DFE49">
            <w:pPr>
              <w:spacing w:line="360" w:lineRule="auto"/>
              <w:ind w:left="0" w:firstLine="0"/>
              <w:jc w:val="left"/>
              <w:rPr>
                <w:rFonts w:ascii="宋体" w:hAnsi="宋体"/>
                <w:szCs w:val="21"/>
              </w:rPr>
            </w:pPr>
            <w:r>
              <w:rPr>
                <w:rFonts w:hint="eastAsia" w:ascii="宋体" w:hAnsi="宋体"/>
                <w:szCs w:val="21"/>
              </w:rPr>
              <w:t>4、要求原厂提供每季度一次的日常巡检，包含规则库升级到最新版本，补丁修复。</w:t>
            </w:r>
          </w:p>
          <w:p w14:paraId="61E0ECEA">
            <w:pPr>
              <w:spacing w:line="360" w:lineRule="auto"/>
              <w:ind w:left="0" w:firstLine="0"/>
              <w:jc w:val="left"/>
              <w:rPr>
                <w:rFonts w:ascii="宋体" w:hAnsi="宋体"/>
                <w:szCs w:val="21"/>
              </w:rPr>
            </w:pPr>
            <w:r>
              <w:rPr>
                <w:rFonts w:hint="eastAsia" w:ascii="宋体" w:hAnsi="宋体" w:cs="仿宋"/>
                <w:szCs w:val="21"/>
              </w:rPr>
              <w:t>*5、</w:t>
            </w:r>
            <w:r>
              <w:rPr>
                <w:rFonts w:hint="eastAsia" w:ascii="宋体" w:hAnsi="宋体" w:cs="仿宋"/>
                <w:kern w:val="0"/>
                <w:szCs w:val="21"/>
              </w:rPr>
              <w:t>要求提供原厂针对本项目的售后服务承诺函并加盖原厂公章。</w:t>
            </w:r>
          </w:p>
        </w:tc>
        <w:tc>
          <w:tcPr>
            <w:tcW w:w="703" w:type="dxa"/>
            <w:vAlign w:val="center"/>
          </w:tcPr>
          <w:p w14:paraId="0CEDC845">
            <w:pPr>
              <w:spacing w:line="360" w:lineRule="auto"/>
              <w:ind w:left="0" w:firstLine="0"/>
              <w:jc w:val="center"/>
              <w:rPr>
                <w:rFonts w:ascii="宋体" w:hAnsi="宋体"/>
                <w:b/>
                <w:bCs/>
                <w:szCs w:val="21"/>
              </w:rPr>
            </w:pPr>
            <w:r>
              <w:rPr>
                <w:rFonts w:hint="eastAsia" w:ascii="宋体" w:hAnsi="宋体"/>
                <w:szCs w:val="21"/>
              </w:rPr>
              <w:t>1台</w:t>
            </w:r>
          </w:p>
        </w:tc>
      </w:tr>
      <w:tr w14:paraId="3E161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Align w:val="center"/>
          </w:tcPr>
          <w:p w14:paraId="482E3D7D">
            <w:pPr>
              <w:spacing w:line="360" w:lineRule="auto"/>
              <w:ind w:left="0" w:firstLine="0"/>
              <w:jc w:val="center"/>
              <w:rPr>
                <w:rFonts w:ascii="宋体" w:hAnsi="宋体"/>
                <w:b/>
                <w:bCs/>
                <w:szCs w:val="21"/>
              </w:rPr>
            </w:pPr>
            <w:r>
              <w:rPr>
                <w:rFonts w:hint="eastAsia" w:ascii="宋体" w:hAnsi="宋体"/>
                <w:b/>
                <w:bCs/>
                <w:szCs w:val="21"/>
              </w:rPr>
              <w:t>7</w:t>
            </w:r>
          </w:p>
        </w:tc>
        <w:tc>
          <w:tcPr>
            <w:tcW w:w="1163" w:type="dxa"/>
            <w:vAlign w:val="center"/>
          </w:tcPr>
          <w:p w14:paraId="30F9C046">
            <w:pPr>
              <w:spacing w:line="360" w:lineRule="auto"/>
              <w:ind w:left="0" w:firstLine="0"/>
              <w:jc w:val="center"/>
              <w:rPr>
                <w:rFonts w:ascii="宋体" w:hAnsi="宋体"/>
                <w:b/>
                <w:bCs/>
                <w:szCs w:val="21"/>
              </w:rPr>
            </w:pPr>
            <w:r>
              <w:rPr>
                <w:rFonts w:hint="eastAsia" w:ascii="宋体" w:hAnsi="宋体"/>
                <w:szCs w:val="21"/>
              </w:rPr>
              <w:t>高级威胁检测系统探针续服</w:t>
            </w:r>
          </w:p>
        </w:tc>
        <w:tc>
          <w:tcPr>
            <w:tcW w:w="7174" w:type="dxa"/>
          </w:tcPr>
          <w:p w14:paraId="78520B6D">
            <w:pPr>
              <w:spacing w:line="360" w:lineRule="auto"/>
              <w:ind w:left="0" w:firstLine="0"/>
              <w:jc w:val="left"/>
              <w:rPr>
                <w:rFonts w:ascii="宋体" w:hAnsi="宋体"/>
                <w:szCs w:val="21"/>
              </w:rPr>
            </w:pPr>
            <w:r>
              <w:rPr>
                <w:rFonts w:ascii="宋体" w:hAnsi="宋体"/>
                <w:szCs w:val="21"/>
              </w:rPr>
              <w:t>1</w:t>
            </w:r>
            <w:r>
              <w:rPr>
                <w:rFonts w:hint="eastAsia" w:ascii="宋体" w:hAnsi="宋体"/>
                <w:szCs w:val="21"/>
              </w:rPr>
              <w:t>、为了保护医院免受病毒的侵袭和骚扰，提高网络环境的安全性，要求对清单内的</w:t>
            </w:r>
            <w:r>
              <w:rPr>
                <w:rFonts w:hint="eastAsia" w:ascii="宋体" w:hAnsi="宋体" w:cs="宋体"/>
                <w:color w:val="000000"/>
                <w:kern w:val="0"/>
                <w:sz w:val="22"/>
                <w:szCs w:val="22"/>
              </w:rPr>
              <w:t>锐捷</w:t>
            </w:r>
            <w:r>
              <w:rPr>
                <w:rFonts w:ascii="宋体" w:hAnsi="宋体" w:cs="宋体"/>
                <w:color w:val="000000"/>
                <w:kern w:val="0"/>
                <w:sz w:val="22"/>
                <w:szCs w:val="22"/>
              </w:rPr>
              <w:t>RG-APT 1000</w:t>
            </w:r>
            <w:r>
              <w:rPr>
                <w:rFonts w:hint="eastAsia" w:ascii="宋体" w:hAnsi="宋体"/>
                <w:szCs w:val="21"/>
              </w:rPr>
              <w:t>高级威胁检测系统探针提供2年原厂特征库和软件升级服务。</w:t>
            </w:r>
          </w:p>
          <w:p w14:paraId="7E8D582B">
            <w:pPr>
              <w:spacing w:line="360" w:lineRule="auto"/>
              <w:ind w:left="0" w:firstLine="0"/>
              <w:jc w:val="left"/>
              <w:rPr>
                <w:rFonts w:ascii="宋体" w:hAnsi="宋体"/>
                <w:b/>
                <w:bCs/>
                <w:szCs w:val="21"/>
              </w:rPr>
            </w:pPr>
            <w:r>
              <w:rPr>
                <w:rFonts w:ascii="宋体" w:hAnsi="宋体"/>
                <w:szCs w:val="21"/>
              </w:rPr>
              <w:t>2</w:t>
            </w:r>
            <w:r>
              <w:rPr>
                <w:rFonts w:hint="eastAsia" w:ascii="宋体" w:hAnsi="宋体"/>
                <w:szCs w:val="21"/>
              </w:rPr>
              <w:t>、要求原厂服务包含软件升级包、更新授权、以及远程升级指导服务，提供该软件版本配套的文档资料、用户手册，升级后用户将享有新版本软件的使用权利。</w:t>
            </w:r>
          </w:p>
          <w:p w14:paraId="0F7C6854">
            <w:pPr>
              <w:spacing w:line="360" w:lineRule="auto"/>
              <w:ind w:left="0" w:firstLine="0"/>
              <w:jc w:val="left"/>
              <w:rPr>
                <w:rFonts w:ascii="宋体" w:hAnsi="宋体"/>
                <w:szCs w:val="21"/>
              </w:rPr>
            </w:pPr>
            <w:r>
              <w:rPr>
                <w:rFonts w:ascii="宋体" w:hAnsi="宋体"/>
                <w:szCs w:val="21"/>
              </w:rPr>
              <w:t>*3、</w:t>
            </w:r>
            <w:r>
              <w:rPr>
                <w:rFonts w:hint="eastAsia" w:ascii="宋体" w:hAnsi="宋体"/>
                <w:szCs w:val="21"/>
              </w:rPr>
              <w:t>要求提供</w:t>
            </w:r>
            <w:r>
              <w:rPr>
                <w:rFonts w:ascii="宋体" w:hAnsi="宋体"/>
                <w:szCs w:val="21"/>
              </w:rPr>
              <w:t>各种安全特征库</w:t>
            </w:r>
            <w:r>
              <w:rPr>
                <w:rFonts w:hint="eastAsia" w:ascii="宋体" w:hAnsi="宋体"/>
                <w:szCs w:val="21"/>
              </w:rPr>
              <w:t>、</w:t>
            </w:r>
            <w:r>
              <w:rPr>
                <w:rFonts w:ascii="宋体" w:hAnsi="宋体"/>
                <w:szCs w:val="21"/>
              </w:rPr>
              <w:t>应用识别库和URL分类库的定期更新服务，</w:t>
            </w:r>
            <w:r>
              <w:rPr>
                <w:rFonts w:hint="eastAsia" w:ascii="宋体" w:hAnsi="宋体"/>
                <w:szCs w:val="21"/>
              </w:rPr>
              <w:t>保持锐捷高级威胁检测系统探针</w:t>
            </w:r>
            <w:r>
              <w:rPr>
                <w:rFonts w:ascii="宋体" w:hAnsi="宋体"/>
                <w:szCs w:val="21"/>
              </w:rPr>
              <w:t>具备监测并防御最新威胁的能力</w:t>
            </w:r>
            <w:r>
              <w:rPr>
                <w:rFonts w:hint="eastAsia" w:ascii="宋体" w:hAnsi="宋体"/>
                <w:szCs w:val="21"/>
              </w:rPr>
              <w:t>。</w:t>
            </w:r>
          </w:p>
          <w:p w14:paraId="32BB17FD">
            <w:pPr>
              <w:spacing w:line="360" w:lineRule="auto"/>
              <w:ind w:left="0" w:firstLine="0"/>
              <w:jc w:val="left"/>
              <w:rPr>
                <w:rFonts w:ascii="宋体" w:hAnsi="宋体"/>
                <w:szCs w:val="21"/>
              </w:rPr>
            </w:pPr>
            <w:r>
              <w:rPr>
                <w:rFonts w:hint="eastAsia" w:ascii="宋体" w:hAnsi="宋体"/>
                <w:szCs w:val="21"/>
              </w:rPr>
              <w:t>4、要求原厂提供每季度一次的日常巡检，包含规则库升级到最新版本，补丁修复。</w:t>
            </w:r>
          </w:p>
          <w:p w14:paraId="4E940499">
            <w:pPr>
              <w:spacing w:line="360" w:lineRule="auto"/>
              <w:ind w:left="0" w:firstLine="0"/>
              <w:jc w:val="left"/>
              <w:rPr>
                <w:rFonts w:ascii="宋体" w:hAnsi="宋体"/>
                <w:szCs w:val="21"/>
              </w:rPr>
            </w:pPr>
            <w:r>
              <w:rPr>
                <w:rFonts w:hint="eastAsia" w:ascii="宋体" w:hAnsi="宋体" w:cs="仿宋"/>
                <w:szCs w:val="21"/>
              </w:rPr>
              <w:t>*5、</w:t>
            </w:r>
            <w:r>
              <w:rPr>
                <w:rFonts w:hint="eastAsia" w:ascii="宋体" w:hAnsi="宋体" w:cs="仿宋"/>
                <w:kern w:val="0"/>
                <w:szCs w:val="21"/>
              </w:rPr>
              <w:t>要求提供原厂针对本项目的售后服务承诺函并加盖原厂公章。</w:t>
            </w:r>
          </w:p>
        </w:tc>
        <w:tc>
          <w:tcPr>
            <w:tcW w:w="703" w:type="dxa"/>
            <w:vAlign w:val="center"/>
          </w:tcPr>
          <w:p w14:paraId="1F814A8F">
            <w:pPr>
              <w:spacing w:line="360" w:lineRule="auto"/>
              <w:ind w:left="0" w:firstLine="0"/>
              <w:jc w:val="center"/>
              <w:rPr>
                <w:rFonts w:ascii="宋体" w:hAnsi="宋体"/>
                <w:b/>
                <w:bCs/>
                <w:szCs w:val="21"/>
              </w:rPr>
            </w:pPr>
            <w:r>
              <w:rPr>
                <w:rFonts w:ascii="宋体" w:hAnsi="宋体"/>
                <w:szCs w:val="21"/>
              </w:rPr>
              <w:t>1</w:t>
            </w:r>
            <w:r>
              <w:rPr>
                <w:rFonts w:hint="eastAsia" w:ascii="宋体" w:hAnsi="宋体"/>
                <w:szCs w:val="21"/>
              </w:rPr>
              <w:t>台</w:t>
            </w:r>
          </w:p>
        </w:tc>
      </w:tr>
    </w:tbl>
    <w:p w14:paraId="768A910D">
      <w:pPr>
        <w:spacing w:line="360" w:lineRule="auto"/>
        <w:ind w:left="0" w:firstLine="0"/>
        <w:jc w:val="left"/>
        <w:rPr>
          <w:b/>
        </w:rPr>
      </w:pPr>
    </w:p>
    <w:p w14:paraId="49753B87">
      <w:pPr>
        <w:pStyle w:val="4"/>
        <w:spacing w:line="360" w:lineRule="auto"/>
        <w:ind w:left="0" w:firstLine="0"/>
        <w:jc w:val="left"/>
        <w:rPr>
          <w:rFonts w:ascii="宋体" w:hAnsi="宋体"/>
          <w:sz w:val="28"/>
          <w:szCs w:val="28"/>
        </w:rPr>
      </w:pPr>
      <w:r>
        <w:rPr>
          <w:rFonts w:ascii="宋体" w:hAnsi="宋体"/>
          <w:sz w:val="28"/>
          <w:szCs w:val="28"/>
        </w:rPr>
        <w:t>2</w:t>
      </w:r>
      <w:r>
        <w:rPr>
          <w:rFonts w:hint="eastAsia" w:ascii="宋体" w:hAnsi="宋体"/>
          <w:sz w:val="28"/>
          <w:szCs w:val="28"/>
        </w:rPr>
        <w:t>、服务要求</w:t>
      </w:r>
    </w:p>
    <w:p w14:paraId="31797C77">
      <w:pPr>
        <w:spacing w:line="360" w:lineRule="auto"/>
        <w:ind w:left="0" w:firstLine="420" w:firstLineChars="200"/>
        <w:jc w:val="left"/>
        <w:rPr>
          <w:rFonts w:ascii="宋体" w:hAnsi="宋体"/>
          <w:szCs w:val="21"/>
        </w:rPr>
      </w:pPr>
      <w:r>
        <w:rPr>
          <w:rFonts w:hint="eastAsia" w:ascii="宋体" w:hAnsi="宋体"/>
          <w:szCs w:val="21"/>
        </w:rPr>
        <w:t>★（</w:t>
      </w:r>
      <w:r>
        <w:rPr>
          <w:rFonts w:ascii="宋体" w:hAnsi="宋体"/>
          <w:szCs w:val="21"/>
        </w:rPr>
        <w:t>1</w:t>
      </w:r>
      <w:r>
        <w:rPr>
          <w:rFonts w:hint="eastAsia" w:ascii="宋体" w:hAnsi="宋体"/>
          <w:szCs w:val="21"/>
        </w:rPr>
        <w:t>）要求提供以上安全产品</w:t>
      </w:r>
      <w:r>
        <w:rPr>
          <w:rFonts w:ascii="宋体" w:hAnsi="宋体"/>
          <w:szCs w:val="21"/>
        </w:rPr>
        <w:t>2</w:t>
      </w:r>
      <w:r>
        <w:rPr>
          <w:rFonts w:hint="eastAsia" w:ascii="宋体" w:hAnsi="宋体"/>
          <w:szCs w:val="21"/>
        </w:rPr>
        <w:t>年原厂服务及集成商服务。</w:t>
      </w:r>
    </w:p>
    <w:p w14:paraId="0EFE0026">
      <w:pPr>
        <w:spacing w:line="360" w:lineRule="auto"/>
        <w:ind w:left="0" w:firstLine="420" w:firstLineChars="200"/>
        <w:jc w:val="left"/>
        <w:rPr>
          <w:rFonts w:ascii="宋体" w:hAnsi="宋体"/>
          <w:szCs w:val="21"/>
        </w:rPr>
      </w:pPr>
      <w:r>
        <w:rPr>
          <w:rFonts w:hint="eastAsia" w:ascii="宋体" w:hAnsi="宋体"/>
          <w:szCs w:val="21"/>
        </w:rPr>
        <w:t>★（</w:t>
      </w:r>
      <w:r>
        <w:rPr>
          <w:rFonts w:ascii="宋体" w:hAnsi="宋体"/>
          <w:szCs w:val="21"/>
        </w:rPr>
        <w:t>2</w:t>
      </w:r>
      <w:r>
        <w:rPr>
          <w:rFonts w:hint="eastAsia" w:ascii="宋体" w:hAnsi="宋体"/>
          <w:szCs w:val="21"/>
        </w:rPr>
        <w:t>）要求投标人承诺按招标要求提供技术支持服务，包括现场培训、硬件维护、策略</w:t>
      </w:r>
      <w:r>
        <w:rPr>
          <w:rFonts w:ascii="宋体" w:hAnsi="宋体"/>
          <w:szCs w:val="21"/>
        </w:rPr>
        <w:t>优化</w:t>
      </w:r>
      <w:r>
        <w:rPr>
          <w:rFonts w:hint="eastAsia" w:ascii="宋体" w:hAnsi="宋体"/>
          <w:szCs w:val="21"/>
        </w:rPr>
        <w:t>、软件升级、定期巡检等</w:t>
      </w:r>
      <w:r>
        <w:rPr>
          <w:rFonts w:hint="eastAsia" w:ascii="宋体" w:hAnsi="宋体"/>
          <w:b/>
          <w:bCs/>
          <w:szCs w:val="21"/>
        </w:rPr>
        <w:t>（须提供承诺函并加盖投标人公章）</w:t>
      </w:r>
      <w:r>
        <w:rPr>
          <w:rFonts w:hint="eastAsia" w:ascii="宋体" w:hAnsi="宋体"/>
          <w:szCs w:val="21"/>
        </w:rPr>
        <w:t>。</w:t>
      </w:r>
    </w:p>
    <w:p w14:paraId="41585AF1">
      <w:pPr>
        <w:spacing w:line="360" w:lineRule="auto"/>
        <w:ind w:left="0" w:firstLine="420" w:firstLineChars="200"/>
        <w:jc w:val="left"/>
        <w:rPr>
          <w:rFonts w:ascii="宋体" w:hAnsi="宋体"/>
          <w:szCs w:val="21"/>
        </w:rPr>
      </w:pPr>
      <w:r>
        <w:rPr>
          <w:rFonts w:hint="eastAsia" w:ascii="宋体" w:hAnsi="宋体"/>
          <w:szCs w:val="21"/>
        </w:rPr>
        <w:t>（</w:t>
      </w:r>
      <w:r>
        <w:rPr>
          <w:rFonts w:ascii="宋体" w:hAnsi="宋体"/>
          <w:szCs w:val="21"/>
        </w:rPr>
        <w:t>3</w:t>
      </w:r>
      <w:r>
        <w:rPr>
          <w:rFonts w:hint="eastAsia" w:ascii="宋体" w:hAnsi="宋体"/>
          <w:szCs w:val="21"/>
        </w:rPr>
        <w:t>）要求投标人</w:t>
      </w:r>
      <w:r>
        <w:rPr>
          <w:rFonts w:ascii="宋体" w:hAnsi="宋体"/>
          <w:szCs w:val="21"/>
        </w:rPr>
        <w:t>提供7*24小时现场、远程支持服务。可对故障问题快速响应，并及时有效的分析处理，出具故障问题处理报告</w:t>
      </w:r>
      <w:r>
        <w:rPr>
          <w:rFonts w:hint="eastAsia" w:ascii="宋体" w:hAnsi="宋体"/>
          <w:szCs w:val="21"/>
        </w:rPr>
        <w:t>，</w:t>
      </w:r>
      <w:r>
        <w:rPr>
          <w:rFonts w:ascii="宋体" w:hAnsi="宋体"/>
          <w:szCs w:val="21"/>
        </w:rPr>
        <w:t>做到故障不排除，技术服务人员不撤离</w:t>
      </w:r>
      <w:r>
        <w:rPr>
          <w:rFonts w:hint="eastAsia" w:ascii="宋体" w:hAnsi="宋体"/>
          <w:szCs w:val="21"/>
        </w:rPr>
        <w:t>。做到</w:t>
      </w:r>
      <w:r>
        <w:rPr>
          <w:rFonts w:ascii="宋体" w:hAnsi="宋体"/>
          <w:szCs w:val="21"/>
        </w:rPr>
        <w:t>1</w:t>
      </w:r>
      <w:r>
        <w:rPr>
          <w:rFonts w:hint="eastAsia" w:ascii="宋体" w:hAnsi="宋体"/>
          <w:szCs w:val="21"/>
        </w:rPr>
        <w:t>小时内电话响应，在接到需求的</w:t>
      </w:r>
      <w:r>
        <w:rPr>
          <w:rFonts w:ascii="宋体" w:hAnsi="宋体"/>
          <w:szCs w:val="21"/>
        </w:rPr>
        <w:t>4</w:t>
      </w:r>
      <w:r>
        <w:rPr>
          <w:rFonts w:hint="eastAsia" w:ascii="宋体" w:hAnsi="宋体"/>
          <w:szCs w:val="21"/>
        </w:rPr>
        <w:t>小时内到达故障现场。</w:t>
      </w:r>
    </w:p>
    <w:p w14:paraId="361EC0C6">
      <w:pPr>
        <w:spacing w:line="360" w:lineRule="auto"/>
        <w:ind w:left="0" w:firstLine="420" w:firstLineChars="200"/>
        <w:jc w:val="left"/>
        <w:rPr>
          <w:rFonts w:ascii="宋体" w:hAnsi="宋体"/>
          <w:szCs w:val="21"/>
        </w:rPr>
      </w:pPr>
      <w:r>
        <w:rPr>
          <w:rFonts w:hint="eastAsia" w:ascii="宋体" w:hAnsi="宋体"/>
          <w:szCs w:val="21"/>
        </w:rPr>
        <w:t>★（</w:t>
      </w:r>
      <w:r>
        <w:rPr>
          <w:rFonts w:ascii="宋体" w:hAnsi="宋体"/>
          <w:szCs w:val="21"/>
        </w:rPr>
        <w:t>4</w:t>
      </w:r>
      <w:r>
        <w:rPr>
          <w:rFonts w:hint="eastAsia" w:ascii="宋体" w:hAnsi="宋体"/>
          <w:szCs w:val="21"/>
        </w:rPr>
        <w:t>）要求投标人针对以上技术参数做出真实应答，如发现虚假应标，则以投标无效处理</w:t>
      </w:r>
      <w:bookmarkStart w:id="11" w:name="OLE_LINK19"/>
      <w:r>
        <w:rPr>
          <w:rFonts w:hint="eastAsia" w:ascii="宋体" w:hAnsi="宋体"/>
          <w:b/>
          <w:bCs/>
          <w:szCs w:val="21"/>
        </w:rPr>
        <w:t>（</w:t>
      </w:r>
      <w:bookmarkStart w:id="12" w:name="OLE_LINK16"/>
      <w:r>
        <w:rPr>
          <w:rFonts w:hint="eastAsia" w:ascii="宋体" w:hAnsi="宋体"/>
          <w:b/>
          <w:bCs/>
          <w:szCs w:val="21"/>
        </w:rPr>
        <w:t>须提供承诺函并加盖投标人公章</w:t>
      </w:r>
      <w:bookmarkEnd w:id="12"/>
      <w:r>
        <w:rPr>
          <w:rFonts w:hint="eastAsia" w:ascii="宋体" w:hAnsi="宋体"/>
          <w:b/>
          <w:bCs/>
          <w:szCs w:val="21"/>
        </w:rPr>
        <w:t>）</w:t>
      </w:r>
      <w:bookmarkEnd w:id="11"/>
      <w:r>
        <w:rPr>
          <w:rFonts w:hint="eastAsia" w:ascii="宋体" w:hAnsi="宋体"/>
          <w:szCs w:val="21"/>
        </w:rPr>
        <w:t>。</w:t>
      </w:r>
    </w:p>
    <w:p w14:paraId="75A59EAC">
      <w:pPr>
        <w:spacing w:line="360" w:lineRule="auto"/>
        <w:ind w:left="0" w:firstLine="420" w:firstLineChars="200"/>
        <w:jc w:val="left"/>
        <w:rPr>
          <w:rFonts w:ascii="宋体" w:hAnsi="宋体"/>
          <w:szCs w:val="21"/>
        </w:rPr>
      </w:pPr>
      <w:r>
        <w:rPr>
          <w:rFonts w:hint="eastAsia" w:ascii="宋体" w:hAnsi="宋体"/>
          <w:szCs w:val="21"/>
        </w:rPr>
        <w:t>★（5）为保证采购人的合法权益，中标后，中标人必须按采购人要求提供证明材料进行验证，验证通过后方可执行合同流程，如验证中发现虚假应标的行为，采购人有权拒签合同，取消中标资格，顺延第二成交候选人继续进行功能验证，以此类推，验证通过确定为中标人</w:t>
      </w:r>
      <w:r>
        <w:rPr>
          <w:rFonts w:hint="eastAsia" w:ascii="宋体" w:hAnsi="宋体"/>
          <w:b/>
          <w:bCs/>
          <w:szCs w:val="21"/>
        </w:rPr>
        <w:t>（</w:t>
      </w:r>
      <w:r>
        <w:rPr>
          <w:rFonts w:hint="eastAsia" w:ascii="宋体" w:hAnsi="宋体"/>
          <w:b/>
          <w:bCs/>
          <w:kern w:val="0"/>
          <w:szCs w:val="21"/>
        </w:rPr>
        <w:t>须提供承诺函并加盖投标人公章）</w:t>
      </w:r>
      <w:r>
        <w:rPr>
          <w:rFonts w:hint="eastAsia" w:ascii="宋体" w:hAnsi="宋体"/>
          <w:szCs w:val="21"/>
        </w:rPr>
        <w:t>。</w:t>
      </w:r>
    </w:p>
    <w:p w14:paraId="6DC5257E"/>
    <w:p w14:paraId="4BCB47F9">
      <w:pPr>
        <w:pStyle w:val="2"/>
        <w:rPr>
          <w:rFonts w:ascii="宋体" w:hAnsi="宋体"/>
        </w:rPr>
      </w:pPr>
    </w:p>
    <w:p w14:paraId="7E622CF7">
      <w:pPr>
        <w:widowControl/>
        <w:spacing w:line="240" w:lineRule="auto"/>
        <w:ind w:left="0" w:firstLine="0"/>
        <w:jc w:val="left"/>
        <w:rPr>
          <w:rFonts w:ascii="宋体" w:hAnsi="宋体"/>
        </w:rPr>
      </w:pPr>
      <w:r>
        <w:rPr>
          <w:rFonts w:ascii="宋体" w:hAnsi="宋体"/>
        </w:rPr>
        <w:br w:type="page"/>
      </w:r>
    </w:p>
    <w:p w14:paraId="368C606A">
      <w:pPr>
        <w:pStyle w:val="3"/>
        <w:numPr>
          <w:ilvl w:val="0"/>
          <w:numId w:val="1"/>
        </w:numPr>
        <w:spacing w:before="120" w:after="120" w:line="360" w:lineRule="auto"/>
        <w:ind w:left="0" w:firstLine="0"/>
        <w:rPr>
          <w:rFonts w:ascii="宋体" w:hAnsi="宋体"/>
          <w:sz w:val="32"/>
          <w:szCs w:val="32"/>
        </w:rPr>
      </w:pPr>
      <w:r>
        <w:rPr>
          <w:rFonts w:hint="eastAsia" w:ascii="宋体" w:hAnsi="宋体"/>
          <w:sz w:val="32"/>
          <w:szCs w:val="32"/>
        </w:rPr>
        <w:t>评分办法</w:t>
      </w:r>
    </w:p>
    <w:tbl>
      <w:tblPr>
        <w:tblStyle w:val="13"/>
        <w:tblW w:w="5552"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260"/>
        <w:gridCol w:w="1296"/>
        <w:gridCol w:w="6907"/>
      </w:tblGrid>
      <w:tr w14:paraId="1CAAD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666" w:type="pct"/>
            <w:tcBorders>
              <w:top w:val="single" w:color="000000" w:sz="6" w:space="0"/>
              <w:left w:val="single" w:color="auto" w:sz="4" w:space="0"/>
              <w:bottom w:val="single" w:color="000000" w:sz="6" w:space="0"/>
              <w:right w:val="single" w:color="000000" w:sz="6" w:space="0"/>
            </w:tcBorders>
            <w:vAlign w:val="center"/>
          </w:tcPr>
          <w:p w14:paraId="7DDB903B">
            <w:pPr>
              <w:widowControl/>
              <w:wordWrap w:val="0"/>
              <w:spacing w:before="156" w:beforeLines="50" w:line="360" w:lineRule="auto"/>
              <w:ind w:left="0" w:firstLine="0"/>
              <w:jc w:val="center"/>
              <w:rPr>
                <w:rFonts w:ascii="宋体" w:hAnsi="宋体" w:cs="仿宋"/>
                <w:b/>
                <w:bCs/>
                <w:szCs w:val="21"/>
              </w:rPr>
            </w:pPr>
            <w:bookmarkStart w:id="13" w:name="_Toc11471"/>
            <w:bookmarkStart w:id="14" w:name="_Toc2995"/>
            <w:bookmarkStart w:id="15" w:name="_Toc97131274"/>
            <w:r>
              <w:rPr>
                <w:rFonts w:hint="eastAsia" w:ascii="宋体" w:hAnsi="宋体" w:cs="仿宋"/>
                <w:b/>
                <w:bCs/>
                <w:szCs w:val="21"/>
              </w:rPr>
              <w:t>条款号</w:t>
            </w:r>
          </w:p>
        </w:tc>
        <w:tc>
          <w:tcPr>
            <w:tcW w:w="685" w:type="pct"/>
            <w:tcBorders>
              <w:top w:val="single" w:color="000000" w:sz="6" w:space="0"/>
              <w:left w:val="single" w:color="auto" w:sz="4" w:space="0"/>
              <w:bottom w:val="single" w:color="000000" w:sz="6" w:space="0"/>
              <w:right w:val="single" w:color="000000" w:sz="6" w:space="0"/>
            </w:tcBorders>
            <w:vAlign w:val="center"/>
          </w:tcPr>
          <w:p w14:paraId="6B393618">
            <w:pPr>
              <w:widowControl/>
              <w:wordWrap w:val="0"/>
              <w:spacing w:before="156" w:beforeLines="50" w:line="360" w:lineRule="auto"/>
              <w:ind w:left="0" w:firstLine="0"/>
              <w:jc w:val="center"/>
              <w:rPr>
                <w:rFonts w:ascii="宋体" w:hAnsi="宋体" w:cs="仿宋"/>
                <w:b/>
                <w:bCs/>
                <w:szCs w:val="21"/>
              </w:rPr>
            </w:pPr>
            <w:r>
              <w:rPr>
                <w:rFonts w:hint="eastAsia" w:ascii="宋体" w:hAnsi="宋体" w:cs="仿宋"/>
                <w:b/>
                <w:bCs/>
                <w:szCs w:val="21"/>
              </w:rPr>
              <w:t>评分项目</w:t>
            </w:r>
          </w:p>
        </w:tc>
        <w:tc>
          <w:tcPr>
            <w:tcW w:w="3649" w:type="pct"/>
            <w:tcBorders>
              <w:top w:val="single" w:color="000000" w:sz="6" w:space="0"/>
              <w:left w:val="single" w:color="000000" w:sz="6" w:space="0"/>
              <w:bottom w:val="single" w:color="000000" w:sz="6" w:space="0"/>
              <w:right w:val="single" w:color="000000" w:sz="6" w:space="0"/>
            </w:tcBorders>
            <w:vAlign w:val="center"/>
          </w:tcPr>
          <w:p w14:paraId="0CDD30EE">
            <w:pPr>
              <w:widowControl/>
              <w:wordWrap w:val="0"/>
              <w:spacing w:before="156" w:beforeLines="50" w:line="360" w:lineRule="auto"/>
              <w:ind w:left="0" w:firstLine="0"/>
              <w:jc w:val="center"/>
              <w:rPr>
                <w:rFonts w:ascii="宋体" w:hAnsi="宋体" w:cs="仿宋"/>
                <w:b/>
                <w:bCs/>
                <w:szCs w:val="21"/>
              </w:rPr>
            </w:pPr>
            <w:r>
              <w:rPr>
                <w:rFonts w:hint="eastAsia" w:ascii="宋体" w:hAnsi="宋体" w:cs="仿宋"/>
                <w:b/>
                <w:bCs/>
                <w:szCs w:val="21"/>
              </w:rPr>
              <w:t>评分内容及打分办法</w:t>
            </w:r>
          </w:p>
        </w:tc>
      </w:tr>
      <w:tr w14:paraId="4D267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666" w:type="pct"/>
            <w:tcBorders>
              <w:top w:val="single" w:color="000000" w:sz="6" w:space="0"/>
              <w:left w:val="single" w:color="auto" w:sz="4" w:space="0"/>
              <w:bottom w:val="single" w:color="000000" w:sz="6" w:space="0"/>
              <w:right w:val="single" w:color="000000" w:sz="6" w:space="0"/>
            </w:tcBorders>
            <w:vAlign w:val="center"/>
          </w:tcPr>
          <w:p w14:paraId="6126B0C9">
            <w:pPr>
              <w:widowControl/>
              <w:wordWrap w:val="0"/>
              <w:spacing w:line="360" w:lineRule="auto"/>
              <w:ind w:left="0" w:firstLine="0"/>
              <w:rPr>
                <w:rFonts w:ascii="宋体" w:hAnsi="宋体" w:cs="仿宋"/>
                <w:szCs w:val="21"/>
              </w:rPr>
            </w:pPr>
            <w:r>
              <w:rPr>
                <w:rFonts w:hint="eastAsia" w:ascii="宋体" w:hAnsi="宋体" w:cs="仿宋"/>
                <w:szCs w:val="21"/>
              </w:rPr>
              <w:t>报价评审（满分</w:t>
            </w:r>
            <w:r>
              <w:rPr>
                <w:rFonts w:ascii="宋体" w:hAnsi="宋体" w:cs="仿宋"/>
                <w:szCs w:val="21"/>
              </w:rPr>
              <w:t>3</w:t>
            </w:r>
            <w:r>
              <w:rPr>
                <w:rFonts w:hint="eastAsia" w:ascii="宋体" w:hAnsi="宋体" w:cs="仿宋"/>
                <w:szCs w:val="21"/>
              </w:rPr>
              <w:t>0分）</w:t>
            </w:r>
          </w:p>
        </w:tc>
        <w:tc>
          <w:tcPr>
            <w:tcW w:w="685" w:type="pct"/>
            <w:tcBorders>
              <w:top w:val="single" w:color="000000" w:sz="6" w:space="0"/>
              <w:left w:val="single" w:color="auto" w:sz="4" w:space="0"/>
              <w:bottom w:val="single" w:color="000000" w:sz="6" w:space="0"/>
              <w:right w:val="single" w:color="000000" w:sz="6" w:space="0"/>
            </w:tcBorders>
            <w:vAlign w:val="center"/>
          </w:tcPr>
          <w:p w14:paraId="245907E2">
            <w:pPr>
              <w:widowControl/>
              <w:wordWrap w:val="0"/>
              <w:spacing w:line="360" w:lineRule="auto"/>
              <w:ind w:left="0" w:firstLine="0"/>
              <w:jc w:val="center"/>
              <w:rPr>
                <w:rFonts w:ascii="宋体" w:hAnsi="宋体" w:cs="仿宋"/>
                <w:b/>
                <w:bCs/>
                <w:szCs w:val="21"/>
              </w:rPr>
            </w:pPr>
            <w:r>
              <w:rPr>
                <w:rFonts w:hint="eastAsia" w:ascii="宋体" w:hAnsi="宋体" w:cs="仿宋"/>
                <w:b/>
                <w:bCs/>
                <w:szCs w:val="21"/>
              </w:rPr>
              <w:t>投标报价</w:t>
            </w:r>
          </w:p>
          <w:p w14:paraId="06901C0E">
            <w:pPr>
              <w:widowControl/>
              <w:wordWrap w:val="0"/>
              <w:spacing w:line="360" w:lineRule="auto"/>
              <w:ind w:left="0" w:firstLine="0"/>
              <w:jc w:val="center"/>
              <w:rPr>
                <w:rFonts w:ascii="宋体" w:hAnsi="宋体" w:cs="仿宋"/>
                <w:b/>
                <w:bCs/>
                <w:szCs w:val="21"/>
              </w:rPr>
            </w:pPr>
            <w:r>
              <w:rPr>
                <w:rFonts w:hint="eastAsia" w:ascii="宋体" w:hAnsi="宋体" w:cs="仿宋"/>
                <w:b/>
                <w:bCs/>
                <w:szCs w:val="21"/>
              </w:rPr>
              <w:t>（</w:t>
            </w:r>
            <w:r>
              <w:rPr>
                <w:rFonts w:ascii="宋体" w:hAnsi="宋体" w:cs="仿宋"/>
                <w:b/>
                <w:bCs/>
                <w:szCs w:val="21"/>
              </w:rPr>
              <w:t>3</w:t>
            </w:r>
            <w:r>
              <w:rPr>
                <w:rFonts w:hint="eastAsia" w:ascii="宋体" w:hAnsi="宋体" w:cs="仿宋"/>
                <w:b/>
                <w:bCs/>
                <w:szCs w:val="21"/>
              </w:rPr>
              <w:t>0分）</w:t>
            </w:r>
          </w:p>
        </w:tc>
        <w:tc>
          <w:tcPr>
            <w:tcW w:w="3649" w:type="pct"/>
            <w:tcBorders>
              <w:top w:val="single" w:color="000000" w:sz="6" w:space="0"/>
              <w:left w:val="single" w:color="000000" w:sz="6" w:space="0"/>
              <w:bottom w:val="single" w:color="000000" w:sz="6" w:space="0"/>
              <w:right w:val="single" w:color="000000" w:sz="6" w:space="0"/>
            </w:tcBorders>
            <w:vAlign w:val="center"/>
          </w:tcPr>
          <w:p w14:paraId="61910C57">
            <w:pPr>
              <w:adjustRightInd w:val="0"/>
              <w:spacing w:line="360" w:lineRule="auto"/>
              <w:ind w:left="0" w:firstLine="0"/>
              <w:jc w:val="left"/>
              <w:rPr>
                <w:rFonts w:ascii="宋体" w:hAnsi="宋体" w:cs="仿宋"/>
                <w:szCs w:val="21"/>
              </w:rPr>
            </w:pPr>
            <w:r>
              <w:rPr>
                <w:rFonts w:hint="eastAsia" w:ascii="宋体" w:hAnsi="宋体" w:cs="仿宋"/>
                <w:szCs w:val="21"/>
              </w:rPr>
              <w:t>投标报价计算公式=评标基准价/</w:t>
            </w:r>
            <w:r>
              <w:rPr>
                <w:rFonts w:hint="eastAsia" w:ascii="宋体" w:hAnsi="宋体" w:cs="仿宋"/>
                <w:szCs w:val="21"/>
                <w:lang w:eastAsia="zh-CN"/>
              </w:rPr>
              <w:t>比选最后报价</w:t>
            </w:r>
            <w:r>
              <w:rPr>
                <w:rFonts w:hint="eastAsia" w:ascii="宋体" w:hAnsi="宋体" w:cs="仿宋"/>
                <w:szCs w:val="21"/>
              </w:rPr>
              <w:t>×3</w:t>
            </w:r>
            <w:r>
              <w:rPr>
                <w:rFonts w:ascii="宋体" w:hAnsi="宋体" w:cs="仿宋"/>
                <w:szCs w:val="21"/>
              </w:rPr>
              <w:t>0</w:t>
            </w:r>
          </w:p>
          <w:p w14:paraId="14935BD8">
            <w:pPr>
              <w:adjustRightInd w:val="0"/>
              <w:spacing w:line="360" w:lineRule="auto"/>
              <w:ind w:left="0" w:firstLine="0"/>
              <w:jc w:val="left"/>
              <w:rPr>
                <w:rFonts w:ascii="宋体" w:hAnsi="宋体" w:cs="仿宋"/>
                <w:szCs w:val="21"/>
              </w:rPr>
            </w:pPr>
            <w:r>
              <w:rPr>
                <w:rFonts w:hint="eastAsia" w:ascii="宋体" w:hAnsi="宋体" w:cs="仿宋"/>
                <w:szCs w:val="21"/>
              </w:rPr>
              <w:t>即：报价得分=[C/（B1，B2，…，Bn）]×</w:t>
            </w:r>
            <w:r>
              <w:rPr>
                <w:rFonts w:ascii="宋体" w:hAnsi="宋体" w:cs="仿宋"/>
                <w:szCs w:val="21"/>
              </w:rPr>
              <w:t>30</w:t>
            </w:r>
            <w:r>
              <w:rPr>
                <w:rFonts w:hint="eastAsia" w:ascii="宋体" w:hAnsi="宋体" w:cs="仿宋"/>
                <w:szCs w:val="21"/>
              </w:rPr>
              <w:t>注：C为评标基准价，即有效投标人是指通过符合性评审的投标人，评标基准价是指各有效投标人中的</w:t>
            </w:r>
            <w:r>
              <w:rPr>
                <w:rFonts w:hint="eastAsia" w:ascii="宋体" w:hAnsi="宋体" w:cs="仿宋"/>
                <w:szCs w:val="21"/>
                <w:lang w:eastAsia="zh-CN"/>
              </w:rPr>
              <w:t>比选最后</w:t>
            </w:r>
            <w:r>
              <w:rPr>
                <w:rFonts w:hint="eastAsia" w:ascii="宋体" w:hAnsi="宋体" w:cs="仿宋"/>
                <w:szCs w:val="21"/>
              </w:rPr>
              <w:t>报价</w:t>
            </w:r>
            <w:r>
              <w:rPr>
                <w:rFonts w:hint="eastAsia" w:ascii="宋体" w:hAnsi="宋体" w:cs="仿宋"/>
                <w:szCs w:val="21"/>
                <w:lang w:eastAsia="zh-CN"/>
              </w:rPr>
              <w:t>的最低价</w:t>
            </w:r>
            <w:r>
              <w:rPr>
                <w:rFonts w:hint="eastAsia" w:ascii="宋体" w:hAnsi="宋体" w:cs="仿宋"/>
                <w:szCs w:val="21"/>
              </w:rPr>
              <w:t>。</w:t>
            </w:r>
          </w:p>
          <w:p w14:paraId="74373912">
            <w:pPr>
              <w:adjustRightInd w:val="0"/>
              <w:spacing w:line="360" w:lineRule="auto"/>
              <w:ind w:left="0" w:firstLine="0"/>
              <w:jc w:val="left"/>
              <w:rPr>
                <w:rFonts w:ascii="宋体" w:hAnsi="宋体" w:cs="仿宋"/>
                <w:szCs w:val="21"/>
              </w:rPr>
            </w:pPr>
            <w:r>
              <w:rPr>
                <w:rFonts w:hint="eastAsia" w:ascii="宋体" w:hAnsi="宋体" w:cs="仿宋"/>
                <w:szCs w:val="21"/>
              </w:rPr>
              <w:t>B1，B2，…，Bn为第n个经初步审查合格的有效投标报。</w:t>
            </w:r>
          </w:p>
          <w:p w14:paraId="05954BF2">
            <w:pPr>
              <w:adjustRightInd w:val="0"/>
              <w:spacing w:line="360" w:lineRule="auto"/>
              <w:ind w:left="0" w:firstLine="0"/>
              <w:jc w:val="left"/>
              <w:rPr>
                <w:rFonts w:ascii="宋体" w:hAnsi="宋体" w:cs="仿宋"/>
                <w:szCs w:val="21"/>
              </w:rPr>
            </w:pPr>
            <w:r>
              <w:rPr>
                <w:rFonts w:hint="eastAsia" w:ascii="宋体" w:hAnsi="宋体" w:cs="仿宋"/>
                <w:szCs w:val="21"/>
              </w:rPr>
              <w:t>注：1.计算结果保留小数点后两位，第三位四舍五入。</w:t>
            </w:r>
          </w:p>
          <w:p w14:paraId="4B8F45AD">
            <w:pPr>
              <w:adjustRightInd w:val="0"/>
              <w:spacing w:line="360" w:lineRule="auto"/>
              <w:ind w:left="0" w:firstLine="0"/>
              <w:jc w:val="left"/>
              <w:rPr>
                <w:rFonts w:ascii="宋体" w:hAnsi="宋体" w:cs="仿宋"/>
                <w:szCs w:val="21"/>
              </w:rPr>
            </w:pPr>
            <w:r>
              <w:rPr>
                <w:rFonts w:hint="eastAsia" w:ascii="宋体" w:hAnsi="宋体" w:cs="仿宋"/>
                <w:szCs w:val="21"/>
              </w:rPr>
              <w:t>2.本项目针对小型和微型企业产品或残疾人福利性单位产品的价格给予10%的扣除，用扣除后的价格参与评审，残疾人福利性单位属于小型、微型企业的，不重复享受政策。（即：评标价=最后磋商报价×(1-10%)）</w:t>
            </w:r>
          </w:p>
          <w:p w14:paraId="5270D19E">
            <w:pPr>
              <w:spacing w:line="360" w:lineRule="auto"/>
              <w:ind w:left="0" w:firstLine="0"/>
              <w:rPr>
                <w:rFonts w:ascii="宋体" w:hAnsi="宋体" w:cs="仿宋"/>
                <w:szCs w:val="21"/>
              </w:rPr>
            </w:pPr>
          </w:p>
        </w:tc>
      </w:tr>
      <w:tr w14:paraId="13CA3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07" w:hRule="atLeast"/>
          <w:jc w:val="center"/>
        </w:trPr>
        <w:tc>
          <w:tcPr>
            <w:tcW w:w="666" w:type="pct"/>
            <w:vMerge w:val="restart"/>
            <w:tcBorders>
              <w:top w:val="single" w:color="000000" w:sz="6" w:space="0"/>
              <w:left w:val="single" w:color="auto" w:sz="4" w:space="0"/>
              <w:right w:val="single" w:color="000000" w:sz="6" w:space="0"/>
            </w:tcBorders>
            <w:vAlign w:val="center"/>
          </w:tcPr>
          <w:p w14:paraId="57B354EB">
            <w:pPr>
              <w:wordWrap w:val="0"/>
              <w:spacing w:line="360" w:lineRule="auto"/>
              <w:ind w:left="0" w:firstLine="0"/>
              <w:rPr>
                <w:rFonts w:ascii="宋体" w:hAnsi="宋体" w:cs="仿宋"/>
                <w:szCs w:val="21"/>
              </w:rPr>
            </w:pPr>
            <w:r>
              <w:rPr>
                <w:rFonts w:hint="eastAsia" w:ascii="宋体" w:hAnsi="宋体" w:cs="仿宋"/>
                <w:szCs w:val="21"/>
              </w:rPr>
              <w:t>技术及商务评审</w:t>
            </w:r>
          </w:p>
          <w:p w14:paraId="15CD919E">
            <w:pPr>
              <w:spacing w:line="360" w:lineRule="auto"/>
              <w:ind w:left="0"/>
              <w:jc w:val="center"/>
              <w:rPr>
                <w:rFonts w:ascii="宋体" w:hAnsi="宋体" w:cs="仿宋"/>
                <w:szCs w:val="21"/>
              </w:rPr>
            </w:pPr>
            <w:r>
              <w:rPr>
                <w:rFonts w:hint="eastAsia" w:ascii="宋体" w:hAnsi="宋体" w:cs="仿宋"/>
                <w:szCs w:val="21"/>
              </w:rPr>
              <w:t>（满分70分）</w:t>
            </w:r>
          </w:p>
        </w:tc>
        <w:tc>
          <w:tcPr>
            <w:tcW w:w="685" w:type="pct"/>
            <w:tcBorders>
              <w:top w:val="single" w:color="000000" w:sz="6" w:space="0"/>
              <w:left w:val="single" w:color="auto" w:sz="4" w:space="0"/>
              <w:right w:val="single" w:color="000000" w:sz="6" w:space="0"/>
            </w:tcBorders>
            <w:vAlign w:val="center"/>
          </w:tcPr>
          <w:p w14:paraId="0A581080">
            <w:pPr>
              <w:widowControl/>
              <w:spacing w:line="360" w:lineRule="auto"/>
              <w:ind w:left="0" w:firstLine="0"/>
              <w:jc w:val="center"/>
              <w:rPr>
                <w:rFonts w:ascii="宋体" w:hAnsi="宋体" w:cs="仿宋"/>
                <w:b/>
                <w:szCs w:val="21"/>
              </w:rPr>
            </w:pPr>
            <w:r>
              <w:rPr>
                <w:rFonts w:hint="eastAsia" w:ascii="宋体" w:hAnsi="宋体" w:cs="仿宋"/>
                <w:b/>
                <w:szCs w:val="21"/>
              </w:rPr>
              <w:t>技术参数评审</w:t>
            </w:r>
          </w:p>
          <w:p w14:paraId="6F7DB785">
            <w:pPr>
              <w:widowControl/>
              <w:wordWrap w:val="0"/>
              <w:spacing w:line="360" w:lineRule="auto"/>
              <w:ind w:left="0" w:firstLine="0"/>
              <w:jc w:val="center"/>
              <w:rPr>
                <w:rFonts w:ascii="宋体" w:hAnsi="宋体" w:cs="仿宋"/>
                <w:b/>
                <w:szCs w:val="21"/>
              </w:rPr>
            </w:pPr>
            <w:r>
              <w:rPr>
                <w:rFonts w:hint="eastAsia" w:ascii="宋体" w:hAnsi="宋体" w:cs="仿宋"/>
                <w:b/>
                <w:szCs w:val="21"/>
              </w:rPr>
              <w:t>（20分）</w:t>
            </w:r>
          </w:p>
        </w:tc>
        <w:tc>
          <w:tcPr>
            <w:tcW w:w="3649" w:type="pct"/>
            <w:tcBorders>
              <w:top w:val="single" w:color="000000" w:sz="6" w:space="0"/>
              <w:left w:val="single" w:color="000000" w:sz="6" w:space="0"/>
              <w:right w:val="single" w:color="000000" w:sz="6" w:space="0"/>
            </w:tcBorders>
            <w:vAlign w:val="center"/>
          </w:tcPr>
          <w:p w14:paraId="44F64BEC">
            <w:pPr>
              <w:widowControl/>
              <w:wordWrap w:val="0"/>
              <w:spacing w:line="360" w:lineRule="auto"/>
              <w:ind w:left="0" w:firstLine="0"/>
              <w:rPr>
                <w:rFonts w:ascii="宋体" w:hAnsi="宋体" w:cs="仿宋"/>
                <w:szCs w:val="21"/>
              </w:rPr>
            </w:pPr>
            <w:r>
              <w:rPr>
                <w:rFonts w:hint="eastAsia" w:ascii="宋体" w:hAnsi="宋体" w:cs="仿宋"/>
                <w:szCs w:val="21"/>
              </w:rPr>
              <w:t>根据响应文件对招标文件技术参数指标的响应程度进行评分：</w:t>
            </w:r>
          </w:p>
          <w:p w14:paraId="568C509D">
            <w:pPr>
              <w:widowControl/>
              <w:wordWrap w:val="0"/>
              <w:spacing w:line="360" w:lineRule="auto"/>
              <w:ind w:left="0" w:firstLine="0"/>
              <w:rPr>
                <w:rFonts w:ascii="宋体" w:hAnsi="宋体" w:cs="仿宋"/>
                <w:szCs w:val="21"/>
              </w:rPr>
            </w:pPr>
            <w:r>
              <w:rPr>
                <w:rFonts w:hint="eastAsia" w:ascii="宋体" w:hAnsi="宋体" w:cs="仿宋"/>
                <w:szCs w:val="21"/>
              </w:rPr>
              <w:t>在招标文件 “技术参数要求”中，每出现1项一般技术参数不满足采购文件要求，扣1</w:t>
            </w:r>
            <w:r>
              <w:rPr>
                <w:rFonts w:ascii="宋体" w:hAnsi="宋体" w:cs="仿宋"/>
                <w:szCs w:val="21"/>
              </w:rPr>
              <w:t>.5</w:t>
            </w:r>
            <w:r>
              <w:rPr>
                <w:rFonts w:hint="eastAsia" w:ascii="宋体" w:hAnsi="宋体" w:cs="仿宋"/>
                <w:szCs w:val="21"/>
              </w:rPr>
              <w:t>分；每出现1项“*”号项技术参数不满足招标文件要求，扣3分，分值扣完为止。</w:t>
            </w:r>
          </w:p>
          <w:p w14:paraId="37CB7813">
            <w:pPr>
              <w:pStyle w:val="2"/>
              <w:ind w:left="0" w:firstLine="0"/>
            </w:pPr>
            <w:r>
              <w:rPr>
                <w:rFonts w:hint="eastAsia"/>
              </w:rPr>
              <w:t>服务要求中“</w:t>
            </w:r>
            <w:r>
              <w:rPr>
                <w:rFonts w:hint="eastAsia" w:ascii="宋体" w:hAnsi="宋体"/>
                <w:szCs w:val="21"/>
              </w:rPr>
              <w:t>★</w:t>
            </w:r>
            <w:r>
              <w:rPr>
                <w:rFonts w:hint="eastAsia"/>
              </w:rPr>
              <w:t>”号为实质性条款。</w:t>
            </w:r>
          </w:p>
        </w:tc>
      </w:tr>
      <w:tr w14:paraId="7AF63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666" w:type="pct"/>
            <w:vMerge w:val="continue"/>
            <w:tcBorders>
              <w:top w:val="single" w:color="000000" w:sz="6" w:space="0"/>
              <w:left w:val="single" w:color="auto" w:sz="4" w:space="0"/>
              <w:right w:val="single" w:color="000000" w:sz="6" w:space="0"/>
            </w:tcBorders>
            <w:vAlign w:val="center"/>
          </w:tcPr>
          <w:p w14:paraId="4F4C731B">
            <w:pPr>
              <w:wordWrap w:val="0"/>
              <w:spacing w:line="360" w:lineRule="auto"/>
              <w:ind w:left="0"/>
              <w:jc w:val="center"/>
              <w:rPr>
                <w:rFonts w:ascii="宋体" w:hAnsi="宋体" w:cs="仿宋"/>
                <w:szCs w:val="21"/>
              </w:rPr>
            </w:pPr>
          </w:p>
        </w:tc>
        <w:tc>
          <w:tcPr>
            <w:tcW w:w="685" w:type="pct"/>
            <w:tcBorders>
              <w:top w:val="single" w:color="000000" w:sz="6" w:space="0"/>
              <w:left w:val="single" w:color="auto" w:sz="4" w:space="0"/>
              <w:right w:val="single" w:color="000000" w:sz="6" w:space="0"/>
            </w:tcBorders>
            <w:vAlign w:val="center"/>
          </w:tcPr>
          <w:p w14:paraId="42E8A887">
            <w:pPr>
              <w:widowControl/>
              <w:spacing w:line="360" w:lineRule="auto"/>
              <w:ind w:left="0" w:firstLine="0"/>
              <w:jc w:val="center"/>
              <w:rPr>
                <w:rFonts w:ascii="宋体" w:hAnsi="宋体" w:cs="仿宋"/>
                <w:b/>
                <w:szCs w:val="21"/>
              </w:rPr>
            </w:pPr>
            <w:r>
              <w:rPr>
                <w:rFonts w:hint="eastAsia" w:ascii="宋体" w:hAnsi="宋体" w:cs="仿宋"/>
                <w:b/>
                <w:szCs w:val="21"/>
              </w:rPr>
              <w:t>服务方案评审</w:t>
            </w:r>
          </w:p>
          <w:p w14:paraId="72961516">
            <w:pPr>
              <w:widowControl/>
              <w:spacing w:line="360" w:lineRule="auto"/>
              <w:ind w:left="0" w:firstLine="0"/>
              <w:jc w:val="center"/>
              <w:rPr>
                <w:rFonts w:ascii="宋体" w:hAnsi="宋体" w:cs="仿宋"/>
                <w:b/>
                <w:szCs w:val="21"/>
              </w:rPr>
            </w:pPr>
            <w:r>
              <w:rPr>
                <w:rFonts w:hint="eastAsia" w:ascii="宋体" w:hAnsi="宋体" w:cs="仿宋"/>
                <w:b/>
                <w:szCs w:val="21"/>
              </w:rPr>
              <w:t>（20分）</w:t>
            </w:r>
          </w:p>
        </w:tc>
        <w:tc>
          <w:tcPr>
            <w:tcW w:w="3649" w:type="pct"/>
            <w:tcBorders>
              <w:top w:val="single" w:color="000000" w:sz="6" w:space="0"/>
              <w:left w:val="single" w:color="000000" w:sz="6" w:space="0"/>
              <w:right w:val="single" w:color="000000" w:sz="6" w:space="0"/>
            </w:tcBorders>
            <w:vAlign w:val="center"/>
          </w:tcPr>
          <w:p w14:paraId="02B3E93A">
            <w:pPr>
              <w:widowControl/>
              <w:wordWrap w:val="0"/>
              <w:spacing w:line="360" w:lineRule="auto"/>
              <w:ind w:left="0" w:firstLine="0"/>
              <w:rPr>
                <w:rFonts w:ascii="宋体" w:hAnsi="宋体" w:cs="仿宋"/>
                <w:szCs w:val="21"/>
              </w:rPr>
            </w:pPr>
            <w:r>
              <w:rPr>
                <w:rFonts w:hint="eastAsia" w:ascii="宋体" w:hAnsi="宋体" w:cs="仿宋"/>
                <w:szCs w:val="21"/>
              </w:rPr>
              <w:t>第一档（13-20分）：服务方案针对性强，内容完整，完全满足招标文件要求；</w:t>
            </w:r>
          </w:p>
          <w:p w14:paraId="4B070FD7">
            <w:pPr>
              <w:widowControl/>
              <w:wordWrap w:val="0"/>
              <w:spacing w:line="360" w:lineRule="auto"/>
              <w:ind w:left="0" w:firstLine="0"/>
              <w:rPr>
                <w:rFonts w:ascii="宋体" w:hAnsi="宋体" w:cs="仿宋"/>
                <w:szCs w:val="21"/>
              </w:rPr>
            </w:pPr>
            <w:r>
              <w:rPr>
                <w:rFonts w:hint="eastAsia" w:ascii="宋体" w:hAnsi="宋体" w:cs="仿宋"/>
                <w:szCs w:val="21"/>
              </w:rPr>
              <w:t>第二档（</w:t>
            </w:r>
            <w:r>
              <w:rPr>
                <w:rFonts w:ascii="宋体" w:hAnsi="宋体" w:cs="仿宋"/>
                <w:szCs w:val="21"/>
              </w:rPr>
              <w:t>7</w:t>
            </w:r>
            <w:r>
              <w:rPr>
                <w:rFonts w:hint="eastAsia" w:ascii="宋体" w:hAnsi="宋体" w:cs="仿宋"/>
                <w:szCs w:val="21"/>
              </w:rPr>
              <w:t>-12分）：服务方案有一定针对性，内容基本完整，基本满足招标文件要求；</w:t>
            </w:r>
          </w:p>
          <w:p w14:paraId="68F786AB">
            <w:pPr>
              <w:widowControl/>
              <w:wordWrap w:val="0"/>
              <w:spacing w:line="360" w:lineRule="auto"/>
              <w:ind w:left="0" w:firstLine="0"/>
              <w:rPr>
                <w:rFonts w:ascii="宋体" w:hAnsi="宋体" w:cs="仿宋"/>
                <w:szCs w:val="21"/>
              </w:rPr>
            </w:pPr>
            <w:r>
              <w:rPr>
                <w:rFonts w:hint="eastAsia" w:ascii="宋体" w:hAnsi="宋体" w:cs="仿宋"/>
                <w:szCs w:val="21"/>
              </w:rPr>
              <w:t>第三档（0-</w:t>
            </w:r>
            <w:r>
              <w:rPr>
                <w:rFonts w:ascii="宋体" w:hAnsi="宋体" w:cs="仿宋"/>
                <w:szCs w:val="21"/>
              </w:rPr>
              <w:t>6</w:t>
            </w:r>
            <w:r>
              <w:rPr>
                <w:rFonts w:hint="eastAsia" w:ascii="宋体" w:hAnsi="宋体" w:cs="仿宋"/>
                <w:szCs w:val="21"/>
              </w:rPr>
              <w:t>分）：服务方案不完整、无针对性，只能部分满足招标文件要求。</w:t>
            </w:r>
          </w:p>
        </w:tc>
      </w:tr>
      <w:tr w14:paraId="4C8EE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666" w:type="pct"/>
            <w:vMerge w:val="continue"/>
            <w:tcBorders>
              <w:left w:val="single" w:color="auto" w:sz="4" w:space="0"/>
              <w:right w:val="single" w:color="000000" w:sz="6" w:space="0"/>
            </w:tcBorders>
            <w:vAlign w:val="center"/>
          </w:tcPr>
          <w:p w14:paraId="53A694AA">
            <w:pPr>
              <w:widowControl/>
              <w:wordWrap w:val="0"/>
              <w:spacing w:line="360" w:lineRule="auto"/>
              <w:ind w:left="0" w:firstLine="0"/>
              <w:jc w:val="center"/>
              <w:rPr>
                <w:rFonts w:ascii="宋体" w:hAnsi="宋体" w:cs="仿宋"/>
                <w:szCs w:val="21"/>
              </w:rPr>
            </w:pPr>
          </w:p>
        </w:tc>
        <w:tc>
          <w:tcPr>
            <w:tcW w:w="685" w:type="pct"/>
            <w:tcBorders>
              <w:top w:val="single" w:color="000000" w:sz="6" w:space="0"/>
              <w:left w:val="single" w:color="000000" w:sz="6" w:space="0"/>
              <w:bottom w:val="single" w:color="000000" w:sz="6" w:space="0"/>
              <w:right w:val="single" w:color="000000" w:sz="6" w:space="0"/>
            </w:tcBorders>
            <w:vAlign w:val="center"/>
          </w:tcPr>
          <w:p w14:paraId="38A21580">
            <w:pPr>
              <w:widowControl/>
              <w:wordWrap w:val="0"/>
              <w:spacing w:line="360" w:lineRule="auto"/>
              <w:ind w:left="0" w:firstLine="0"/>
              <w:jc w:val="center"/>
              <w:rPr>
                <w:rFonts w:ascii="宋体" w:hAnsi="宋体" w:cs="仿宋"/>
                <w:b/>
                <w:bCs/>
                <w:szCs w:val="21"/>
              </w:rPr>
            </w:pPr>
            <w:r>
              <w:rPr>
                <w:rFonts w:hint="eastAsia" w:ascii="宋体" w:hAnsi="宋体" w:cs="仿宋"/>
                <w:b/>
                <w:bCs/>
                <w:szCs w:val="21"/>
              </w:rPr>
              <w:t>应急预案、设备巡检维护及措施评审</w:t>
            </w:r>
          </w:p>
          <w:p w14:paraId="3D1F9DE0">
            <w:pPr>
              <w:widowControl/>
              <w:wordWrap w:val="0"/>
              <w:spacing w:line="360" w:lineRule="auto"/>
              <w:ind w:left="0" w:firstLine="0"/>
              <w:jc w:val="center"/>
              <w:rPr>
                <w:rFonts w:ascii="宋体" w:hAnsi="宋体" w:cs="仿宋"/>
                <w:b/>
                <w:bCs/>
                <w:szCs w:val="21"/>
              </w:rPr>
            </w:pPr>
            <w:r>
              <w:rPr>
                <w:rFonts w:hint="eastAsia" w:ascii="宋体" w:hAnsi="宋体" w:cs="仿宋"/>
                <w:b/>
                <w:bCs/>
                <w:szCs w:val="21"/>
              </w:rPr>
              <w:t>（</w:t>
            </w:r>
            <w:r>
              <w:rPr>
                <w:rFonts w:ascii="宋体" w:hAnsi="宋体" w:cs="仿宋"/>
                <w:b/>
                <w:bCs/>
                <w:szCs w:val="21"/>
              </w:rPr>
              <w:t>2</w:t>
            </w:r>
            <w:r>
              <w:rPr>
                <w:rFonts w:hint="eastAsia" w:ascii="宋体" w:hAnsi="宋体" w:cs="仿宋"/>
                <w:b/>
                <w:bCs/>
                <w:szCs w:val="21"/>
              </w:rPr>
              <w:t>0分）</w:t>
            </w:r>
          </w:p>
        </w:tc>
        <w:tc>
          <w:tcPr>
            <w:tcW w:w="3649" w:type="pct"/>
            <w:tcBorders>
              <w:top w:val="single" w:color="000000" w:sz="6" w:space="0"/>
              <w:left w:val="single" w:color="000000" w:sz="6" w:space="0"/>
              <w:bottom w:val="single" w:color="000000" w:sz="6" w:space="0"/>
              <w:right w:val="single" w:color="000000" w:sz="6" w:space="0"/>
            </w:tcBorders>
            <w:vAlign w:val="center"/>
          </w:tcPr>
          <w:p w14:paraId="00F87411">
            <w:pPr>
              <w:widowControl/>
              <w:wordWrap w:val="0"/>
              <w:spacing w:line="360" w:lineRule="auto"/>
              <w:ind w:left="0" w:firstLine="0"/>
              <w:rPr>
                <w:rFonts w:ascii="宋体" w:hAnsi="宋体" w:cs="仿宋"/>
                <w:szCs w:val="21"/>
              </w:rPr>
            </w:pPr>
            <w:r>
              <w:rPr>
                <w:rFonts w:hint="eastAsia" w:ascii="宋体" w:hAnsi="宋体" w:cs="仿宋"/>
                <w:szCs w:val="21"/>
              </w:rPr>
              <w:t>第一档（</w:t>
            </w:r>
            <w:r>
              <w:rPr>
                <w:rFonts w:ascii="宋体" w:hAnsi="宋体" w:cs="仿宋"/>
                <w:szCs w:val="21"/>
              </w:rPr>
              <w:t>13-20</w:t>
            </w:r>
            <w:r>
              <w:rPr>
                <w:rFonts w:hint="eastAsia" w:ascii="宋体" w:hAnsi="宋体" w:cs="仿宋"/>
                <w:szCs w:val="21"/>
              </w:rPr>
              <w:t>分）：故障响应时间及时，</w:t>
            </w:r>
            <w:bookmarkStart w:id="16" w:name="OLE_LINK10"/>
            <w:r>
              <w:rPr>
                <w:rFonts w:hint="eastAsia" w:ascii="宋体" w:hAnsi="宋体" w:cs="仿宋"/>
                <w:szCs w:val="21"/>
              </w:rPr>
              <w:t>应急预案</w:t>
            </w:r>
            <w:bookmarkEnd w:id="16"/>
            <w:r>
              <w:rPr>
                <w:rFonts w:hint="eastAsia" w:ascii="宋体" w:hAnsi="宋体" w:cs="仿宋"/>
                <w:szCs w:val="21"/>
              </w:rPr>
              <w:t>措施全面、可行，设备巡检维护周期、巡检计划内容合理性、可行性好；</w:t>
            </w:r>
          </w:p>
          <w:p w14:paraId="568973E9">
            <w:pPr>
              <w:widowControl/>
              <w:wordWrap w:val="0"/>
              <w:spacing w:line="360" w:lineRule="auto"/>
              <w:ind w:left="0" w:firstLine="0"/>
              <w:rPr>
                <w:rFonts w:ascii="宋体" w:hAnsi="宋体" w:cs="仿宋"/>
                <w:szCs w:val="21"/>
              </w:rPr>
            </w:pPr>
            <w:r>
              <w:rPr>
                <w:rFonts w:hint="eastAsia" w:ascii="宋体" w:hAnsi="宋体" w:cs="仿宋"/>
                <w:szCs w:val="21"/>
              </w:rPr>
              <w:t>第二档（7</w:t>
            </w:r>
            <w:r>
              <w:rPr>
                <w:rFonts w:ascii="宋体" w:hAnsi="宋体" w:cs="仿宋"/>
                <w:szCs w:val="21"/>
              </w:rPr>
              <w:t>-12</w:t>
            </w:r>
            <w:r>
              <w:rPr>
                <w:rFonts w:hint="eastAsia" w:ascii="宋体" w:hAnsi="宋体" w:cs="仿宋"/>
                <w:szCs w:val="21"/>
              </w:rPr>
              <w:t>分）：故障响应时间一般，应急预案措施基本合理、可行，设备巡检维护周期、巡检计划内容基本合理、可行；</w:t>
            </w:r>
          </w:p>
          <w:p w14:paraId="72309346">
            <w:pPr>
              <w:widowControl/>
              <w:wordWrap w:val="0"/>
              <w:spacing w:line="360" w:lineRule="auto"/>
              <w:ind w:left="0" w:firstLine="0"/>
              <w:rPr>
                <w:rFonts w:ascii="宋体" w:hAnsi="宋体" w:cs="仿宋"/>
                <w:szCs w:val="21"/>
              </w:rPr>
            </w:pPr>
            <w:r>
              <w:rPr>
                <w:rFonts w:hint="eastAsia" w:ascii="宋体" w:hAnsi="宋体" w:cs="仿宋"/>
                <w:szCs w:val="21"/>
              </w:rPr>
              <w:t>第三档（0</w:t>
            </w:r>
            <w:r>
              <w:rPr>
                <w:rFonts w:ascii="宋体" w:hAnsi="宋体" w:cs="仿宋"/>
                <w:szCs w:val="21"/>
              </w:rPr>
              <w:t>-6</w:t>
            </w:r>
            <w:r>
              <w:rPr>
                <w:rFonts w:hint="eastAsia" w:ascii="宋体" w:hAnsi="宋体" w:cs="仿宋"/>
                <w:szCs w:val="21"/>
              </w:rPr>
              <w:t>分）：故障响应时间、应急预案措施、设备巡检维护周期、巡检计划内容不合理、可行性较差；</w:t>
            </w:r>
          </w:p>
        </w:tc>
      </w:tr>
      <w:tr w14:paraId="738F9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666" w:type="pct"/>
            <w:vMerge w:val="continue"/>
            <w:tcBorders>
              <w:left w:val="single" w:color="auto" w:sz="4" w:space="0"/>
              <w:right w:val="single" w:color="000000" w:sz="6" w:space="0"/>
            </w:tcBorders>
            <w:vAlign w:val="center"/>
          </w:tcPr>
          <w:p w14:paraId="20C36E27">
            <w:pPr>
              <w:widowControl/>
              <w:wordWrap w:val="0"/>
              <w:spacing w:line="360" w:lineRule="auto"/>
              <w:ind w:left="0" w:firstLine="0"/>
              <w:jc w:val="center"/>
              <w:rPr>
                <w:rFonts w:ascii="宋体" w:hAnsi="宋体" w:cs="仿宋"/>
                <w:szCs w:val="21"/>
              </w:rPr>
            </w:pPr>
          </w:p>
        </w:tc>
        <w:tc>
          <w:tcPr>
            <w:tcW w:w="685" w:type="pct"/>
            <w:tcBorders>
              <w:top w:val="single" w:color="000000" w:sz="6" w:space="0"/>
              <w:left w:val="single" w:color="000000" w:sz="6" w:space="0"/>
              <w:bottom w:val="single" w:color="000000" w:sz="6" w:space="0"/>
              <w:right w:val="single" w:color="000000" w:sz="6" w:space="0"/>
            </w:tcBorders>
            <w:vAlign w:val="center"/>
          </w:tcPr>
          <w:p w14:paraId="04659341">
            <w:pPr>
              <w:widowControl/>
              <w:wordWrap w:val="0"/>
              <w:spacing w:line="360" w:lineRule="auto"/>
              <w:ind w:left="0" w:firstLine="0"/>
              <w:jc w:val="center"/>
              <w:rPr>
                <w:rFonts w:ascii="宋体" w:hAnsi="宋体" w:cs="仿宋"/>
                <w:b/>
                <w:bCs/>
                <w:szCs w:val="21"/>
              </w:rPr>
            </w:pPr>
            <w:r>
              <w:rPr>
                <w:rFonts w:hint="eastAsia" w:ascii="宋体" w:hAnsi="宋体" w:cs="仿宋"/>
                <w:b/>
                <w:bCs/>
                <w:szCs w:val="21"/>
              </w:rPr>
              <w:t>服务质量承诺及保障措施评审</w:t>
            </w:r>
          </w:p>
          <w:p w14:paraId="47CEEA39">
            <w:pPr>
              <w:widowControl/>
              <w:wordWrap w:val="0"/>
              <w:spacing w:line="360" w:lineRule="auto"/>
              <w:ind w:left="0" w:firstLine="0"/>
              <w:jc w:val="center"/>
              <w:rPr>
                <w:rFonts w:ascii="宋体" w:hAnsi="宋体" w:cs="仿宋"/>
                <w:b/>
                <w:bCs/>
                <w:szCs w:val="21"/>
              </w:rPr>
            </w:pPr>
            <w:r>
              <w:rPr>
                <w:rFonts w:hint="eastAsia" w:ascii="宋体" w:hAnsi="宋体" w:cs="仿宋"/>
                <w:b/>
                <w:bCs/>
                <w:szCs w:val="21"/>
              </w:rPr>
              <w:t>（1</w:t>
            </w:r>
            <w:r>
              <w:rPr>
                <w:rFonts w:ascii="宋体" w:hAnsi="宋体" w:cs="仿宋"/>
                <w:b/>
                <w:bCs/>
                <w:szCs w:val="21"/>
              </w:rPr>
              <w:t>0</w:t>
            </w:r>
            <w:r>
              <w:rPr>
                <w:rFonts w:hint="eastAsia" w:ascii="宋体" w:hAnsi="宋体" w:cs="仿宋"/>
                <w:b/>
                <w:bCs/>
                <w:szCs w:val="21"/>
              </w:rPr>
              <w:t>分）</w:t>
            </w:r>
          </w:p>
        </w:tc>
        <w:tc>
          <w:tcPr>
            <w:tcW w:w="3649" w:type="pct"/>
            <w:tcBorders>
              <w:top w:val="single" w:color="000000" w:sz="6" w:space="0"/>
              <w:left w:val="single" w:color="000000" w:sz="6" w:space="0"/>
              <w:bottom w:val="single" w:color="000000" w:sz="6" w:space="0"/>
              <w:right w:val="single" w:color="000000" w:sz="6" w:space="0"/>
            </w:tcBorders>
            <w:vAlign w:val="center"/>
          </w:tcPr>
          <w:p w14:paraId="67FC5CBA">
            <w:pPr>
              <w:widowControl/>
              <w:wordWrap w:val="0"/>
              <w:spacing w:line="360" w:lineRule="auto"/>
              <w:ind w:left="0" w:firstLine="0"/>
              <w:rPr>
                <w:rFonts w:ascii="宋体" w:hAnsi="宋体" w:cs="仿宋"/>
                <w:szCs w:val="21"/>
              </w:rPr>
            </w:pPr>
            <w:bookmarkStart w:id="17" w:name="OLE_LINK18"/>
            <w:r>
              <w:rPr>
                <w:rFonts w:hint="eastAsia" w:ascii="宋体" w:hAnsi="宋体" w:cs="仿宋"/>
                <w:szCs w:val="21"/>
              </w:rPr>
              <w:t>第一档（6</w:t>
            </w:r>
            <w:r>
              <w:rPr>
                <w:rFonts w:ascii="宋体" w:hAnsi="宋体" w:cs="仿宋"/>
                <w:szCs w:val="21"/>
              </w:rPr>
              <w:t>-10</w:t>
            </w:r>
            <w:r>
              <w:rPr>
                <w:rFonts w:hint="eastAsia" w:ascii="宋体" w:hAnsi="宋体" w:cs="仿宋"/>
                <w:szCs w:val="21"/>
              </w:rPr>
              <w:t>分）：服务质量承诺及违约责任详细具体，且服务质量保障措施完善、具体可行，针对性强；</w:t>
            </w:r>
          </w:p>
          <w:p w14:paraId="577E4B79">
            <w:pPr>
              <w:widowControl/>
              <w:wordWrap w:val="0"/>
              <w:spacing w:line="360" w:lineRule="auto"/>
              <w:ind w:left="0" w:firstLine="0"/>
              <w:rPr>
                <w:rFonts w:ascii="宋体" w:hAnsi="宋体" w:cs="仿宋"/>
                <w:szCs w:val="21"/>
              </w:rPr>
            </w:pPr>
            <w:r>
              <w:rPr>
                <w:rFonts w:hint="eastAsia" w:ascii="宋体" w:hAnsi="宋体" w:cs="仿宋"/>
                <w:szCs w:val="21"/>
              </w:rPr>
              <w:t>第二档（3</w:t>
            </w:r>
            <w:r>
              <w:rPr>
                <w:rFonts w:ascii="宋体" w:hAnsi="宋体" w:cs="仿宋"/>
                <w:szCs w:val="21"/>
              </w:rPr>
              <w:t>-5</w:t>
            </w:r>
            <w:r>
              <w:rPr>
                <w:rFonts w:hint="eastAsia" w:ascii="宋体" w:hAnsi="宋体" w:cs="仿宋"/>
                <w:szCs w:val="21"/>
              </w:rPr>
              <w:t>分）：服务质量承诺及违约责任的一般，且服务质量保障措施一般、可行性一般，针对性一般；</w:t>
            </w:r>
          </w:p>
          <w:p w14:paraId="23223D1F">
            <w:pPr>
              <w:widowControl/>
              <w:wordWrap w:val="0"/>
              <w:spacing w:line="360" w:lineRule="auto"/>
              <w:ind w:left="0" w:firstLine="0"/>
              <w:rPr>
                <w:rFonts w:ascii="宋体" w:hAnsi="宋体" w:cs="仿宋"/>
                <w:szCs w:val="21"/>
              </w:rPr>
            </w:pPr>
            <w:r>
              <w:rPr>
                <w:rFonts w:hint="eastAsia" w:ascii="宋体" w:hAnsi="宋体" w:cs="仿宋"/>
                <w:szCs w:val="21"/>
              </w:rPr>
              <w:t>第三档（0</w:t>
            </w:r>
            <w:r>
              <w:rPr>
                <w:rFonts w:ascii="宋体" w:hAnsi="宋体" w:cs="仿宋"/>
                <w:szCs w:val="21"/>
              </w:rPr>
              <w:t>-2</w:t>
            </w:r>
            <w:r>
              <w:rPr>
                <w:rFonts w:hint="eastAsia" w:ascii="宋体" w:hAnsi="宋体" w:cs="仿宋"/>
                <w:szCs w:val="21"/>
              </w:rPr>
              <w:t>分）：服务质量承诺及无违约责任的较差，且服务质量保障措施针对性不强。</w:t>
            </w:r>
            <w:bookmarkEnd w:id="17"/>
          </w:p>
        </w:tc>
      </w:tr>
      <w:bookmarkEnd w:id="13"/>
      <w:bookmarkEnd w:id="14"/>
      <w:bookmarkEnd w:id="15"/>
    </w:tbl>
    <w:p w14:paraId="158F40D1">
      <w:pPr>
        <w:spacing w:line="440" w:lineRule="exact"/>
        <w:ind w:left="0" w:firstLine="0"/>
        <w:rPr>
          <w:rFonts w:ascii="宋体" w:hAnsi="宋体" w:cs="仿宋"/>
          <w:b/>
          <w:bCs/>
          <w:sz w:val="24"/>
          <w:szCs w:val="22"/>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Helvetica Neue">
    <w:altName w:val="Corbel"/>
    <w:panose1 w:val="02000503000000020004"/>
    <w:charset w:val="00"/>
    <w:family w:val="auto"/>
    <w:pitch w:val="default"/>
    <w:sig w:usb0="00000000" w:usb1="00000000" w:usb2="00000010" w:usb3="00000000" w:csb0="00000000" w:csb1="00000000"/>
  </w:font>
  <w:font w:name="Corbel">
    <w:panose1 w:val="020B0503020204020204"/>
    <w:charset w:val="00"/>
    <w:family w:val="auto"/>
    <w:pitch w:val="default"/>
    <w:sig w:usb0="A00002EF" w:usb1="4000A44B"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3377AC"/>
    <w:multiLevelType w:val="multilevel"/>
    <w:tmpl w:val="3E3377AC"/>
    <w:lvl w:ilvl="0" w:tentative="0">
      <w:start w:val="1"/>
      <w:numFmt w:val="chineseCountingThousand"/>
      <w:lvlText w:val="%1、"/>
      <w:lvlJc w:val="left"/>
      <w:pPr>
        <w:ind w:left="902" w:hanging="420"/>
      </w:p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E85"/>
    <w:rsid w:val="000D40A0"/>
    <w:rsid w:val="001215C7"/>
    <w:rsid w:val="0019359E"/>
    <w:rsid w:val="001B0E85"/>
    <w:rsid w:val="00274418"/>
    <w:rsid w:val="00297946"/>
    <w:rsid w:val="00324B58"/>
    <w:rsid w:val="003F2CDC"/>
    <w:rsid w:val="00494332"/>
    <w:rsid w:val="004E3A0A"/>
    <w:rsid w:val="004F3D10"/>
    <w:rsid w:val="005249A3"/>
    <w:rsid w:val="0053282B"/>
    <w:rsid w:val="00544C8F"/>
    <w:rsid w:val="00646A4C"/>
    <w:rsid w:val="006815DE"/>
    <w:rsid w:val="00692BE5"/>
    <w:rsid w:val="007916F2"/>
    <w:rsid w:val="007A01EB"/>
    <w:rsid w:val="007D3A74"/>
    <w:rsid w:val="00802747"/>
    <w:rsid w:val="008B48C6"/>
    <w:rsid w:val="009E38E4"/>
    <w:rsid w:val="00A6204B"/>
    <w:rsid w:val="00B05F71"/>
    <w:rsid w:val="00BF1DDB"/>
    <w:rsid w:val="00C04326"/>
    <w:rsid w:val="00C81177"/>
    <w:rsid w:val="00D462BA"/>
    <w:rsid w:val="00D81919"/>
    <w:rsid w:val="00F208EF"/>
    <w:rsid w:val="00F25616"/>
    <w:rsid w:val="00F5353C"/>
    <w:rsid w:val="23290648"/>
    <w:rsid w:val="4F211788"/>
    <w:rsid w:val="5BC11016"/>
    <w:rsid w:val="77D313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480" w:lineRule="exact"/>
      <w:ind w:left="902" w:hanging="42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21"/>
    <w:qFormat/>
    <w:uiPriority w:val="9"/>
    <w:pPr>
      <w:keepNext/>
      <w:keepLines/>
      <w:spacing w:before="340" w:after="330" w:line="578" w:lineRule="atLeast"/>
      <w:outlineLvl w:val="0"/>
    </w:pPr>
    <w:rPr>
      <w:b/>
      <w:bCs/>
      <w:kern w:val="44"/>
      <w:sz w:val="44"/>
      <w:szCs w:val="44"/>
    </w:rPr>
  </w:style>
  <w:style w:type="paragraph" w:styleId="4">
    <w:name w:val="heading 2"/>
    <w:basedOn w:val="1"/>
    <w:next w:val="1"/>
    <w:link w:val="19"/>
    <w:qFormat/>
    <w:uiPriority w:val="0"/>
    <w:pPr>
      <w:keepNext/>
      <w:keepLines/>
      <w:spacing w:line="400" w:lineRule="exact"/>
      <w:jc w:val="center"/>
      <w:outlineLvl w:val="1"/>
    </w:pPr>
    <w:rPr>
      <w:rFonts w:ascii="Arial" w:hAnsi="Arial"/>
      <w:b/>
      <w:kern w:val="0"/>
      <w:sz w:val="3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0"/>
    <w:unhideWhenUsed/>
    <w:qFormat/>
    <w:uiPriority w:val="99"/>
    <w:pPr>
      <w:spacing w:after="120"/>
    </w:pPr>
  </w:style>
  <w:style w:type="paragraph" w:styleId="5">
    <w:name w:val="annotation text"/>
    <w:basedOn w:val="1"/>
    <w:link w:val="22"/>
    <w:semiHidden/>
    <w:unhideWhenUsed/>
    <w:qFormat/>
    <w:uiPriority w:val="99"/>
    <w:pPr>
      <w:jc w:val="left"/>
    </w:pPr>
  </w:style>
  <w:style w:type="paragraph" w:styleId="6">
    <w:name w:val="Body Text Indent"/>
    <w:basedOn w:val="1"/>
    <w:next w:val="7"/>
    <w:qFormat/>
    <w:uiPriority w:val="0"/>
    <w:pPr>
      <w:ind w:firstLine="630"/>
    </w:pPr>
    <w:rPr>
      <w:rFonts w:ascii="Times New Roman" w:hAnsi="Times New Roman" w:eastAsia="宋体" w:cs="Times New Roman"/>
      <w:kern w:val="0"/>
      <w:sz w:val="32"/>
      <w:szCs w:val="24"/>
    </w:rPr>
  </w:style>
  <w:style w:type="paragraph" w:styleId="7">
    <w:name w:val="Body Text First Indent 2"/>
    <w:basedOn w:val="6"/>
    <w:next w:val="8"/>
    <w:qFormat/>
    <w:uiPriority w:val="0"/>
    <w:pPr>
      <w:spacing w:after="120"/>
      <w:ind w:left="420" w:leftChars="200" w:firstLine="420" w:firstLineChars="200"/>
    </w:pPr>
    <w:rPr>
      <w:sz w:val="21"/>
    </w:rPr>
  </w:style>
  <w:style w:type="paragraph" w:styleId="8">
    <w:name w:val="Body Text First Indent"/>
    <w:basedOn w:val="2"/>
    <w:next w:val="1"/>
    <w:qFormat/>
    <w:uiPriority w:val="0"/>
    <w:pPr>
      <w:spacing w:line="312" w:lineRule="auto"/>
      <w:ind w:firstLine="420"/>
    </w:pPr>
  </w:style>
  <w:style w:type="paragraph" w:styleId="9">
    <w:name w:val="footer"/>
    <w:basedOn w:val="1"/>
    <w:link w:val="18"/>
    <w:unhideWhenUsed/>
    <w:qFormat/>
    <w:uiPriority w:val="99"/>
    <w:pPr>
      <w:tabs>
        <w:tab w:val="center" w:pos="4153"/>
        <w:tab w:val="right" w:pos="8306"/>
      </w:tabs>
      <w:snapToGrid w:val="0"/>
      <w:jc w:val="left"/>
    </w:pPr>
    <w:rPr>
      <w:sz w:val="18"/>
      <w:szCs w:val="18"/>
    </w:rPr>
  </w:style>
  <w:style w:type="paragraph" w:styleId="10">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qFormat/>
    <w:uiPriority w:val="0"/>
    <w:pPr>
      <w:adjustRightInd w:val="0"/>
      <w:spacing w:line="312" w:lineRule="atLeast"/>
      <w:jc w:val="left"/>
      <w:textAlignment w:val="baseline"/>
    </w:pPr>
    <w:rPr>
      <w:kern w:val="0"/>
      <w:sz w:val="18"/>
      <w:szCs w:val="20"/>
    </w:rPr>
  </w:style>
  <w:style w:type="paragraph" w:styleId="12">
    <w:name w:val="annotation subject"/>
    <w:basedOn w:val="5"/>
    <w:next w:val="5"/>
    <w:link w:val="23"/>
    <w:semiHidden/>
    <w:unhideWhenUsed/>
    <w:qFormat/>
    <w:uiPriority w:val="99"/>
    <w:rPr>
      <w:b/>
      <w:bCs/>
    </w:rPr>
  </w:style>
  <w:style w:type="table" w:styleId="14">
    <w:name w:val="Table Grid"/>
    <w:basedOn w:val="13"/>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annotation reference"/>
    <w:basedOn w:val="15"/>
    <w:semiHidden/>
    <w:unhideWhenUsed/>
    <w:qFormat/>
    <w:uiPriority w:val="99"/>
    <w:rPr>
      <w:sz w:val="21"/>
      <w:szCs w:val="21"/>
    </w:rPr>
  </w:style>
  <w:style w:type="character" w:customStyle="1" w:styleId="17">
    <w:name w:val="页眉 字符"/>
    <w:basedOn w:val="15"/>
    <w:link w:val="10"/>
    <w:qFormat/>
    <w:uiPriority w:val="99"/>
    <w:rPr>
      <w:sz w:val="18"/>
      <w:szCs w:val="18"/>
    </w:rPr>
  </w:style>
  <w:style w:type="character" w:customStyle="1" w:styleId="18">
    <w:name w:val="页脚 字符"/>
    <w:basedOn w:val="15"/>
    <w:link w:val="9"/>
    <w:qFormat/>
    <w:uiPriority w:val="99"/>
    <w:rPr>
      <w:sz w:val="18"/>
      <w:szCs w:val="18"/>
    </w:rPr>
  </w:style>
  <w:style w:type="character" w:customStyle="1" w:styleId="19">
    <w:name w:val="标题 2 字符"/>
    <w:basedOn w:val="15"/>
    <w:link w:val="4"/>
    <w:qFormat/>
    <w:uiPriority w:val="0"/>
    <w:rPr>
      <w:rFonts w:ascii="Arial" w:hAnsi="Arial" w:eastAsia="宋体" w:cs="Times New Roman"/>
      <w:b/>
      <w:kern w:val="0"/>
      <w:sz w:val="30"/>
      <w:szCs w:val="20"/>
    </w:rPr>
  </w:style>
  <w:style w:type="character" w:customStyle="1" w:styleId="20">
    <w:name w:val="正文文本 字符"/>
    <w:basedOn w:val="15"/>
    <w:link w:val="2"/>
    <w:qFormat/>
    <w:uiPriority w:val="99"/>
    <w:rPr>
      <w:rFonts w:ascii="Times New Roman" w:hAnsi="Times New Roman" w:eastAsia="宋体" w:cs="Times New Roman"/>
      <w:szCs w:val="20"/>
    </w:rPr>
  </w:style>
  <w:style w:type="character" w:customStyle="1" w:styleId="21">
    <w:name w:val="标题 1 字符"/>
    <w:basedOn w:val="15"/>
    <w:link w:val="3"/>
    <w:qFormat/>
    <w:uiPriority w:val="9"/>
    <w:rPr>
      <w:rFonts w:ascii="Times New Roman" w:hAnsi="Times New Roman" w:eastAsia="宋体" w:cs="Times New Roman"/>
      <w:b/>
      <w:bCs/>
      <w:kern w:val="44"/>
      <w:sz w:val="44"/>
      <w:szCs w:val="44"/>
    </w:rPr>
  </w:style>
  <w:style w:type="character" w:customStyle="1" w:styleId="22">
    <w:name w:val="批注文字 字符"/>
    <w:basedOn w:val="15"/>
    <w:link w:val="5"/>
    <w:semiHidden/>
    <w:qFormat/>
    <w:uiPriority w:val="99"/>
    <w:rPr>
      <w:rFonts w:ascii="Times New Roman" w:hAnsi="Times New Roman" w:eastAsia="宋体" w:cs="Times New Roman"/>
      <w:szCs w:val="20"/>
    </w:rPr>
  </w:style>
  <w:style w:type="character" w:customStyle="1" w:styleId="23">
    <w:name w:val="批注主题 字符"/>
    <w:basedOn w:val="22"/>
    <w:link w:val="12"/>
    <w:semiHidden/>
    <w:qFormat/>
    <w:uiPriority w:val="99"/>
    <w:rPr>
      <w:rFonts w:ascii="Times New Roman" w:hAnsi="Times New Roman" w:eastAsia="宋体" w:cs="Times New Roman"/>
      <w:b/>
      <w:bCs/>
      <w:szCs w:val="20"/>
    </w:rPr>
  </w:style>
  <w:style w:type="paragraph" w:styleId="24">
    <w:name w:val="List Paragraph"/>
    <w:basedOn w:val="1"/>
    <w:qFormat/>
    <w:uiPriority w:val="34"/>
    <w:pPr>
      <w:ind w:firstLine="420" w:firstLineChars="200"/>
    </w:pPr>
  </w:style>
  <w:style w:type="character" w:customStyle="1" w:styleId="25">
    <w:name w:val="font21"/>
    <w:basedOn w:val="15"/>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676</Words>
  <Characters>779</Characters>
  <Lines>28</Lines>
  <Paragraphs>8</Paragraphs>
  <TotalTime>0</TotalTime>
  <ScaleCrop>false</ScaleCrop>
  <LinksUpToDate>false</LinksUpToDate>
  <CharactersWithSpaces>791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2024-12-20T10:42:00Z</dcterms:created>
  <dc:creator>Administrator</dc:creator>
  <cp:lastModifiedBy>杨青</cp:lastModifiedBy>
  <dcterms:modified xsi:type="dcterms:W3CDTF">2024-12-24T09:59:20Z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2593AB72D75649DD9DB586ACE99F4AB4_13</vt:lpwstr>
  </property>
</Properties>
</file>