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269B6">
      <w:pPr>
        <w:rPr>
          <w:rFonts w:hint="eastAsia" w:ascii="仿宋_GB2312" w:hAnsi="宋体" w:eastAsia="仿宋_GB2312" w:cs="宋体"/>
          <w:color w:val="000000"/>
          <w:kern w:val="0"/>
          <w:sz w:val="32"/>
          <w:szCs w:val="32"/>
        </w:rPr>
      </w:pPr>
      <w:bookmarkStart w:id="0" w:name="_GoBack"/>
      <w:bookmarkEnd w:id="0"/>
    </w:p>
    <w:tbl>
      <w:tblPr>
        <w:tblStyle w:val="5"/>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7"/>
        <w:gridCol w:w="7904"/>
      </w:tblGrid>
      <w:tr w14:paraId="3B28C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2C04A837">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32"/>
                <w:szCs w:val="32"/>
              </w:rPr>
              <w:br w:type="page"/>
            </w:r>
            <w:r>
              <w:rPr>
                <w:rFonts w:hint="eastAsia" w:ascii="仿宋_GB2312" w:hAnsi="宋体" w:eastAsia="仿宋_GB2312" w:cs="宋体"/>
                <w:b/>
                <w:color w:val="000000"/>
                <w:kern w:val="0"/>
                <w:sz w:val="24"/>
                <w:szCs w:val="24"/>
              </w:rPr>
              <w:t>项目名称</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48403A6B">
            <w:pPr>
              <w:ind w:right="-38" w:rightChars="-18"/>
              <w:jc w:val="center"/>
              <w:rPr>
                <w:rFonts w:hint="eastAsia" w:ascii="宋体" w:hAnsi="宋体" w:cs="宋体"/>
                <w:color w:val="000000"/>
                <w:kern w:val="0"/>
                <w:sz w:val="24"/>
                <w:szCs w:val="24"/>
              </w:rPr>
            </w:pPr>
            <w:r>
              <w:rPr>
                <w:rFonts w:hint="eastAsia" w:ascii="宋体" w:hAnsi="宋体" w:cs="宋体"/>
                <w:color w:val="000000"/>
                <w:kern w:val="0"/>
                <w:sz w:val="24"/>
                <w:szCs w:val="24"/>
              </w:rPr>
              <w:t>退行性</w:t>
            </w:r>
            <w:r>
              <w:rPr>
                <w:rFonts w:hint="eastAsia" w:ascii="宋体" w:hAnsi="宋体" w:cs="宋体"/>
                <w:color w:val="000000"/>
                <w:kern w:val="0"/>
                <w:sz w:val="24"/>
                <w:szCs w:val="24"/>
                <w:lang w:eastAsia="zh-CN"/>
              </w:rPr>
              <w:t>腰椎</w:t>
            </w:r>
            <w:r>
              <w:rPr>
                <w:rFonts w:hint="eastAsia" w:ascii="宋体" w:hAnsi="宋体" w:cs="宋体"/>
                <w:color w:val="000000"/>
                <w:kern w:val="0"/>
                <w:sz w:val="24"/>
                <w:szCs w:val="24"/>
              </w:rPr>
              <w:t>侧凸一体化创新诊疗体系的建立与推广</w:t>
            </w:r>
          </w:p>
        </w:tc>
      </w:tr>
      <w:tr w14:paraId="1168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214A798B">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b/>
                <w:bCs/>
                <w:color w:val="000000"/>
                <w:kern w:val="0"/>
                <w:sz w:val="24"/>
                <w:szCs w:val="24"/>
              </w:rPr>
              <w:t>提名奖种和等级</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1A125150">
            <w:pPr>
              <w:ind w:right="-38" w:rightChars="-18"/>
              <w:jc w:val="center"/>
              <w:rPr>
                <w:rFonts w:hint="eastAsia" w:ascii="宋体" w:hAnsi="宋体" w:cs="宋体"/>
                <w:color w:val="000000"/>
                <w:kern w:val="0"/>
                <w:sz w:val="24"/>
                <w:szCs w:val="24"/>
              </w:rPr>
            </w:pPr>
            <w:r>
              <w:rPr>
                <w:rFonts w:hint="eastAsia" w:ascii="宋体" w:hAnsi="宋体" w:cs="宋体"/>
                <w:color w:val="000000"/>
                <w:kern w:val="0"/>
                <w:sz w:val="24"/>
                <w:szCs w:val="24"/>
              </w:rPr>
              <w:t>天津市科技进步二等奖</w:t>
            </w:r>
          </w:p>
        </w:tc>
      </w:tr>
      <w:tr w14:paraId="78611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48F98A86">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b/>
                <w:color w:val="000000"/>
                <w:kern w:val="0"/>
                <w:sz w:val="24"/>
                <w:szCs w:val="24"/>
              </w:rPr>
              <w:t>主要完成单位</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16DDFDBB">
            <w:pPr>
              <w:ind w:right="-38" w:rightChars="-18"/>
              <w:jc w:val="center"/>
              <w:rPr>
                <w:rFonts w:hint="eastAsia" w:ascii="宋体" w:hAnsi="宋体" w:cs="宋体"/>
                <w:color w:val="000000"/>
                <w:kern w:val="0"/>
                <w:sz w:val="24"/>
                <w:szCs w:val="24"/>
              </w:rPr>
            </w:pPr>
            <w:r>
              <w:rPr>
                <w:rFonts w:hint="eastAsia" w:ascii="宋体" w:hAnsi="宋体" w:cs="宋体"/>
                <w:color w:val="000000"/>
                <w:kern w:val="0"/>
                <w:sz w:val="22"/>
              </w:rPr>
              <w:t>天津市人民医院、天津医科大学总医院、山东大学齐鲁医院、德宏州人民医院</w:t>
            </w:r>
          </w:p>
        </w:tc>
      </w:tr>
      <w:tr w14:paraId="49D94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440ECCB1">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b/>
                <w:color w:val="000000"/>
                <w:kern w:val="0"/>
                <w:sz w:val="24"/>
                <w:szCs w:val="24"/>
              </w:rPr>
              <w:t>主要完成人</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22B78B78">
            <w:pPr>
              <w:ind w:right="-38" w:rightChars="-18"/>
              <w:jc w:val="center"/>
              <w:rPr>
                <w:rFonts w:hint="eastAsia" w:ascii="宋体" w:hAnsi="宋体" w:cs="宋体"/>
                <w:color w:val="000000"/>
                <w:kern w:val="0"/>
                <w:sz w:val="24"/>
                <w:szCs w:val="24"/>
              </w:rPr>
            </w:pPr>
            <w:r>
              <w:rPr>
                <w:rFonts w:hint="eastAsia" w:ascii="宋体" w:hAnsi="宋体" w:cs="宋体"/>
                <w:color w:val="000000"/>
                <w:kern w:val="0"/>
                <w:sz w:val="24"/>
                <w:szCs w:val="24"/>
              </w:rPr>
              <w:t>朱如森、宁广智、周恒星、张洪杰、付玄昊、胡炜、江泽华、张伯裕</w:t>
            </w:r>
          </w:p>
        </w:tc>
      </w:tr>
      <w:tr w14:paraId="0F51C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0080D6A1">
            <w:pPr>
              <w:ind w:right="-38" w:rightChars="-18"/>
              <w:jc w:val="center"/>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提名者</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2B6D4E88">
            <w:pPr>
              <w:ind w:right="-38" w:rightChars="-18"/>
              <w:jc w:val="center"/>
              <w:rPr>
                <w:rFonts w:hint="eastAsia" w:ascii="宋体" w:hAnsi="宋体" w:cs="宋体"/>
                <w:color w:val="000000"/>
                <w:kern w:val="0"/>
                <w:sz w:val="24"/>
                <w:szCs w:val="24"/>
              </w:rPr>
            </w:pPr>
            <w:r>
              <w:rPr>
                <w:rFonts w:hint="eastAsia" w:ascii="宋体" w:hAnsi="宋体" w:cs="宋体"/>
                <w:color w:val="000000"/>
                <w:kern w:val="0"/>
                <w:sz w:val="24"/>
                <w:szCs w:val="24"/>
              </w:rPr>
              <w:t>天津市卫生健康委员会</w:t>
            </w:r>
          </w:p>
        </w:tc>
      </w:tr>
      <w:tr w14:paraId="2EDB7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8"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35B96BD1">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b/>
                <w:color w:val="000000"/>
                <w:kern w:val="0"/>
                <w:sz w:val="24"/>
                <w:szCs w:val="24"/>
              </w:rPr>
              <w:t>项目简介</w:t>
            </w:r>
          </w:p>
        </w:tc>
        <w:tc>
          <w:tcPr>
            <w:tcW w:w="7904" w:type="dxa"/>
            <w:tcBorders>
              <w:top w:val="single" w:color="000000" w:sz="4" w:space="0"/>
              <w:left w:val="single" w:color="000000" w:sz="4" w:space="0"/>
              <w:bottom w:val="single" w:color="000000" w:sz="4" w:space="0"/>
              <w:right w:val="single" w:color="000000" w:sz="4" w:space="0"/>
            </w:tcBorders>
            <w:noWrap w:val="0"/>
            <w:vAlign w:val="center"/>
          </w:tcPr>
          <w:p w14:paraId="2FCAEABC">
            <w:pPr>
              <w:widowControl/>
              <w:spacing w:line="360" w:lineRule="auto"/>
              <w:rPr>
                <w:color w:val="000000"/>
                <w:kern w:val="0"/>
                <w:sz w:val="24"/>
                <w:szCs w:val="24"/>
                <w:lang w:bidi="ar"/>
              </w:rPr>
            </w:pPr>
            <w:r>
              <w:rPr>
                <w:rFonts w:hint="eastAsia" w:ascii="宋体" w:hAnsi="宋体" w:cs="宋体"/>
                <w:color w:val="000000"/>
                <w:kern w:val="0"/>
                <w:sz w:val="24"/>
                <w:szCs w:val="24"/>
                <w:lang w:bidi="ar"/>
              </w:rPr>
              <w:t xml:space="preserve">  </w:t>
            </w:r>
            <w:r>
              <w:rPr>
                <w:color w:val="000000"/>
                <w:kern w:val="0"/>
                <w:sz w:val="24"/>
                <w:szCs w:val="24"/>
                <w:lang w:bidi="ar"/>
              </w:rPr>
              <w:t xml:space="preserve">  该项目属于医药卫生领域，涉及临床医学、解剖学、分子生物学、智能医学等综合交叉学科领域。 </w:t>
            </w:r>
          </w:p>
          <w:p w14:paraId="5F9D74DA">
            <w:pPr>
              <w:widowControl/>
              <w:spacing w:line="360" w:lineRule="auto"/>
              <w:ind w:firstLine="480" w:firstLineChars="200"/>
              <w:rPr>
                <w:color w:val="000000"/>
                <w:kern w:val="0"/>
                <w:sz w:val="24"/>
                <w:szCs w:val="24"/>
                <w:lang w:bidi="ar"/>
              </w:rPr>
            </w:pPr>
            <w:r>
              <w:rPr>
                <w:color w:val="000000"/>
                <w:kern w:val="0"/>
                <w:sz w:val="24"/>
                <w:szCs w:val="24"/>
                <w:lang w:bidi="ar"/>
              </w:rPr>
              <w:t>退行性</w:t>
            </w:r>
            <w:r>
              <w:rPr>
                <w:rFonts w:hint="eastAsia"/>
                <w:color w:val="000000"/>
                <w:kern w:val="0"/>
                <w:sz w:val="24"/>
                <w:szCs w:val="24"/>
                <w:lang w:eastAsia="zh-CN" w:bidi="ar"/>
              </w:rPr>
              <w:t>腰椎</w:t>
            </w:r>
            <w:r>
              <w:rPr>
                <w:color w:val="000000"/>
                <w:kern w:val="0"/>
                <w:sz w:val="24"/>
                <w:szCs w:val="24"/>
                <w:lang w:bidi="ar"/>
              </w:rPr>
              <w:t>侧弯是一种常见的</w:t>
            </w:r>
            <w:r>
              <w:rPr>
                <w:rFonts w:hint="eastAsia"/>
                <w:color w:val="000000"/>
                <w:kern w:val="0"/>
                <w:sz w:val="24"/>
                <w:szCs w:val="24"/>
                <w:lang w:eastAsia="zh-CN" w:bidi="ar"/>
              </w:rPr>
              <w:t>腰椎</w:t>
            </w:r>
            <w:r>
              <w:rPr>
                <w:color w:val="000000"/>
                <w:kern w:val="0"/>
                <w:sz w:val="24"/>
                <w:szCs w:val="24"/>
                <w:lang w:bidi="ar"/>
              </w:rPr>
              <w:t>畸形，主要表现为</w:t>
            </w:r>
            <w:r>
              <w:rPr>
                <w:rFonts w:hint="eastAsia"/>
                <w:color w:val="000000"/>
                <w:kern w:val="0"/>
                <w:sz w:val="24"/>
                <w:szCs w:val="24"/>
                <w:lang w:eastAsia="zh-CN" w:bidi="ar"/>
              </w:rPr>
              <w:t>腰椎</w:t>
            </w:r>
            <w:r>
              <w:rPr>
                <w:color w:val="000000"/>
                <w:kern w:val="0"/>
                <w:sz w:val="24"/>
                <w:szCs w:val="24"/>
                <w:lang w:bidi="ar"/>
              </w:rPr>
              <w:t>的侧凸和旋转，往往伴随严重的运动功能障碍和神经损伤，为社会带来了沉重负担。目前，退行性</w:t>
            </w:r>
            <w:r>
              <w:rPr>
                <w:rFonts w:hint="eastAsia"/>
                <w:color w:val="000000"/>
                <w:kern w:val="0"/>
                <w:sz w:val="24"/>
                <w:szCs w:val="24"/>
                <w:lang w:eastAsia="zh-CN" w:bidi="ar"/>
              </w:rPr>
              <w:t>腰椎</w:t>
            </w:r>
            <w:r>
              <w:rPr>
                <w:color w:val="000000"/>
                <w:kern w:val="0"/>
                <w:sz w:val="24"/>
                <w:szCs w:val="24"/>
                <w:lang w:bidi="ar"/>
              </w:rPr>
              <w:t>侧弯的诊治流程缺乏综合管理，导致诊疗策略混乱、方案不恰当、并发症多、疗效不佳等问题。项目组结合自身多年临床与基础研究积累，创新性提出</w:t>
            </w:r>
            <w:r>
              <w:rPr>
                <w:color w:val="000000"/>
                <w:kern w:val="0"/>
                <w:sz w:val="24"/>
                <w:szCs w:val="24"/>
              </w:rPr>
              <w:t>退行性</w:t>
            </w:r>
            <w:r>
              <w:rPr>
                <w:rFonts w:hint="eastAsia"/>
                <w:color w:val="000000"/>
                <w:kern w:val="0"/>
                <w:sz w:val="24"/>
                <w:szCs w:val="24"/>
                <w:lang w:eastAsia="zh-CN"/>
              </w:rPr>
              <w:t>腰椎</w:t>
            </w:r>
            <w:r>
              <w:rPr>
                <w:color w:val="000000"/>
                <w:kern w:val="0"/>
                <w:sz w:val="24"/>
                <w:szCs w:val="24"/>
              </w:rPr>
              <w:t>侧凸一体化诊疗体系</w:t>
            </w:r>
            <w:r>
              <w:rPr>
                <w:color w:val="000000"/>
                <w:kern w:val="0"/>
                <w:sz w:val="24"/>
                <w:szCs w:val="24"/>
                <w:lang w:bidi="ar"/>
              </w:rPr>
              <w:t xml:space="preserve">的系统性概念，全面揭示该疾病基本规律，实现精准化、一体化、微创化及个性化诊疗，取得系列创新成果： </w:t>
            </w:r>
          </w:p>
          <w:p w14:paraId="0A2752E9">
            <w:pPr>
              <w:widowControl/>
              <w:spacing w:line="360" w:lineRule="auto"/>
              <w:rPr>
                <w:color w:val="000000"/>
                <w:kern w:val="0"/>
                <w:sz w:val="24"/>
                <w:szCs w:val="24"/>
                <w:lang w:bidi="ar"/>
              </w:rPr>
            </w:pPr>
            <w:r>
              <w:rPr>
                <w:color w:val="000000"/>
                <w:kern w:val="0"/>
                <w:sz w:val="24"/>
                <w:szCs w:val="24"/>
                <w:lang w:bidi="ar"/>
              </w:rPr>
              <w:t>（1）本研究团队创新提出半自动化三维重建椎旁肌肉的方法，从整体视角评估椎旁肌肉质量，首次描绘了退行性</w:t>
            </w:r>
            <w:r>
              <w:rPr>
                <w:rFonts w:hint="eastAsia"/>
                <w:color w:val="000000"/>
                <w:kern w:val="0"/>
                <w:sz w:val="24"/>
                <w:szCs w:val="24"/>
                <w:lang w:eastAsia="zh-CN" w:bidi="ar"/>
              </w:rPr>
              <w:t>腰椎</w:t>
            </w:r>
            <w:r>
              <w:rPr>
                <w:color w:val="000000"/>
                <w:kern w:val="0"/>
                <w:sz w:val="24"/>
                <w:szCs w:val="24"/>
                <w:lang w:bidi="ar"/>
              </w:rPr>
              <w:t>畸形中椎旁肌的时空异质性退变模式，初步应用于临床早期</w:t>
            </w:r>
            <w:r>
              <w:rPr>
                <w:rFonts w:hint="eastAsia"/>
                <w:color w:val="000000"/>
                <w:kern w:val="0"/>
                <w:sz w:val="24"/>
                <w:szCs w:val="24"/>
                <w:lang w:eastAsia="zh-CN" w:bidi="ar"/>
              </w:rPr>
              <w:t>腰椎</w:t>
            </w:r>
            <w:r>
              <w:rPr>
                <w:color w:val="000000"/>
                <w:kern w:val="0"/>
                <w:sz w:val="24"/>
                <w:szCs w:val="24"/>
                <w:lang w:bidi="ar"/>
              </w:rPr>
              <w:t>畸形运动功能管理。在此基础上进一步构建了基于 CT 影像的深度学习椎旁肌肉质量精准测量系统，全自动分析各节段、各部位椎旁肌肉的退变情况。并应用该系统建立了退行性</w:t>
            </w:r>
            <w:r>
              <w:rPr>
                <w:rFonts w:hint="eastAsia"/>
                <w:color w:val="000000"/>
                <w:kern w:val="0"/>
                <w:sz w:val="24"/>
                <w:szCs w:val="24"/>
                <w:lang w:eastAsia="zh-CN" w:bidi="ar"/>
              </w:rPr>
              <w:t>腰椎</w:t>
            </w:r>
            <w:r>
              <w:rPr>
                <w:color w:val="000000"/>
                <w:kern w:val="0"/>
                <w:sz w:val="24"/>
                <w:szCs w:val="24"/>
                <w:lang w:bidi="ar"/>
              </w:rPr>
              <w:t>畸形疾病及手术预后中椎旁肌特征数据库。该系统可精准描述</w:t>
            </w:r>
            <w:r>
              <w:rPr>
                <w:rFonts w:hint="eastAsia"/>
                <w:color w:val="000000"/>
                <w:kern w:val="0"/>
                <w:sz w:val="24"/>
                <w:szCs w:val="24"/>
                <w:lang w:eastAsia="zh-CN" w:bidi="ar"/>
              </w:rPr>
              <w:t>腰椎</w:t>
            </w:r>
            <w:r>
              <w:rPr>
                <w:color w:val="000000"/>
                <w:kern w:val="0"/>
                <w:sz w:val="24"/>
                <w:szCs w:val="24"/>
                <w:lang w:bidi="ar"/>
              </w:rPr>
              <w:t>退行性疾病的椎旁肌肉负荷曲线，应用于临床退行性</w:t>
            </w:r>
            <w:r>
              <w:rPr>
                <w:rFonts w:hint="eastAsia"/>
                <w:color w:val="000000"/>
                <w:kern w:val="0"/>
                <w:sz w:val="24"/>
                <w:szCs w:val="24"/>
                <w:lang w:eastAsia="zh-CN" w:bidi="ar"/>
              </w:rPr>
              <w:t>腰椎</w:t>
            </w:r>
            <w:r>
              <w:rPr>
                <w:color w:val="000000"/>
                <w:kern w:val="0"/>
                <w:sz w:val="24"/>
                <w:szCs w:val="24"/>
                <w:lang w:bidi="ar"/>
              </w:rPr>
              <w:t>畸形的个性化预防策略，并制定精准化手术方案和智能化康复体系。</w:t>
            </w:r>
          </w:p>
          <w:p w14:paraId="7FE31C7F">
            <w:pPr>
              <w:widowControl/>
              <w:spacing w:line="360" w:lineRule="auto"/>
              <w:rPr>
                <w:color w:val="000000"/>
                <w:kern w:val="0"/>
                <w:sz w:val="24"/>
                <w:szCs w:val="24"/>
                <w:lang w:bidi="ar"/>
              </w:rPr>
            </w:pPr>
            <w:r>
              <w:rPr>
                <w:color w:val="000000"/>
                <w:kern w:val="0"/>
                <w:sz w:val="24"/>
                <w:szCs w:val="24"/>
                <w:lang w:bidi="ar"/>
              </w:rPr>
              <w:t>（2）创新性提出退行性</w:t>
            </w:r>
            <w:r>
              <w:rPr>
                <w:rFonts w:hint="eastAsia"/>
                <w:color w:val="000000"/>
                <w:kern w:val="0"/>
                <w:sz w:val="24"/>
                <w:szCs w:val="24"/>
                <w:lang w:eastAsia="zh-CN" w:bidi="ar"/>
              </w:rPr>
              <w:t>腰椎</w:t>
            </w:r>
            <w:r>
              <w:rPr>
                <w:color w:val="000000"/>
                <w:kern w:val="0"/>
                <w:sz w:val="24"/>
                <w:szCs w:val="24"/>
                <w:lang w:bidi="ar"/>
              </w:rPr>
              <w:t>侧凸冠状面失衡“基座”矫形理念，率先确定了术中腰骶弯水平化矫正的理想范围，建立退行性</w:t>
            </w:r>
            <w:r>
              <w:rPr>
                <w:rFonts w:hint="eastAsia"/>
                <w:color w:val="000000"/>
                <w:kern w:val="0"/>
                <w:sz w:val="24"/>
                <w:szCs w:val="24"/>
                <w:lang w:eastAsia="zh-CN" w:bidi="ar"/>
              </w:rPr>
              <w:t>腰椎</w:t>
            </w:r>
            <w:r>
              <w:rPr>
                <w:color w:val="000000"/>
                <w:kern w:val="0"/>
                <w:sz w:val="24"/>
                <w:szCs w:val="24"/>
                <w:lang w:bidi="ar"/>
              </w:rPr>
              <w:t>侧凸精准化矫形策略。提出“同轴双腔内镜技术”退行性</w:t>
            </w:r>
            <w:r>
              <w:rPr>
                <w:rFonts w:hint="eastAsia"/>
                <w:color w:val="000000"/>
                <w:kern w:val="0"/>
                <w:sz w:val="24"/>
                <w:szCs w:val="24"/>
                <w:lang w:eastAsia="zh-CN" w:bidi="ar"/>
              </w:rPr>
              <w:t>腰椎</w:t>
            </w:r>
            <w:r>
              <w:rPr>
                <w:color w:val="000000"/>
                <w:kern w:val="0"/>
                <w:sz w:val="24"/>
                <w:szCs w:val="24"/>
                <w:lang w:bidi="ar"/>
              </w:rPr>
              <w:t>侧凸微创手术新技术，研发并转化多种配套手术器械。</w:t>
            </w:r>
          </w:p>
          <w:p w14:paraId="28B68081">
            <w:pPr>
              <w:widowControl/>
              <w:spacing w:line="360" w:lineRule="auto"/>
            </w:pPr>
            <w:r>
              <w:rPr>
                <w:sz w:val="24"/>
                <w:szCs w:val="24"/>
              </w:rPr>
              <w:t>（3）多维度解析</w:t>
            </w:r>
            <w:r>
              <w:rPr>
                <w:rFonts w:hint="eastAsia"/>
                <w:sz w:val="24"/>
                <w:szCs w:val="24"/>
                <w:lang w:eastAsia="zh-CN"/>
              </w:rPr>
              <w:t>腰椎</w:t>
            </w:r>
            <w:r>
              <w:rPr>
                <w:sz w:val="24"/>
                <w:szCs w:val="24"/>
              </w:rPr>
              <w:t>侧凸畸形发生发展的分子病理机制</w:t>
            </w:r>
            <w:r>
              <w:rPr>
                <w:rFonts w:eastAsia="仿宋_GB2312"/>
                <w:sz w:val="30"/>
                <w:szCs w:val="30"/>
              </w:rPr>
              <w:t>。</w:t>
            </w:r>
            <w:r>
              <w:rPr>
                <w:color w:val="000000"/>
                <w:kern w:val="0"/>
                <w:sz w:val="24"/>
                <w:szCs w:val="24"/>
                <w:lang w:bidi="ar"/>
              </w:rPr>
              <w:t>创新性建立畸形始动因素间盘和黄韧带退变的分子病理数据库，在分子水平筛选关键作用靶点并建立分子互作网络。探索了退行性</w:t>
            </w:r>
            <w:r>
              <w:rPr>
                <w:rFonts w:hint="eastAsia"/>
                <w:color w:val="000000"/>
                <w:kern w:val="0"/>
                <w:sz w:val="24"/>
                <w:szCs w:val="24"/>
                <w:lang w:eastAsia="zh-CN" w:bidi="ar"/>
              </w:rPr>
              <w:t>腰椎</w:t>
            </w:r>
            <w:r>
              <w:rPr>
                <w:color w:val="000000"/>
                <w:kern w:val="0"/>
                <w:sz w:val="24"/>
                <w:szCs w:val="24"/>
                <w:lang w:bidi="ar"/>
              </w:rPr>
              <w:t>畸形神经损伤的关键机制。从靶点入手，应用开展无创低频脉冲超声，电信号修复神经损伤的基础和临床研究，为退行性</w:t>
            </w:r>
            <w:r>
              <w:rPr>
                <w:rFonts w:hint="eastAsia"/>
                <w:color w:val="000000"/>
                <w:kern w:val="0"/>
                <w:sz w:val="24"/>
                <w:szCs w:val="24"/>
                <w:lang w:eastAsia="zh-CN" w:bidi="ar"/>
              </w:rPr>
              <w:t>腰椎</w:t>
            </w:r>
            <w:r>
              <w:rPr>
                <w:color w:val="000000"/>
                <w:kern w:val="0"/>
                <w:sz w:val="24"/>
                <w:szCs w:val="24"/>
                <w:lang w:bidi="ar"/>
              </w:rPr>
              <w:t>畸形一体化术后快速康复提供理论依据和对策。</w:t>
            </w:r>
          </w:p>
          <w:p w14:paraId="029ABD35">
            <w:pPr>
              <w:widowControl/>
              <w:spacing w:line="360" w:lineRule="auto"/>
            </w:pPr>
            <w:r>
              <w:rPr>
                <w:color w:val="000000"/>
                <w:kern w:val="0"/>
                <w:sz w:val="24"/>
                <w:szCs w:val="24"/>
                <w:lang w:bidi="ar"/>
              </w:rPr>
              <w:t xml:space="preserve">    该</w:t>
            </w:r>
            <w:r>
              <w:rPr>
                <w:color w:val="000000"/>
                <w:kern w:val="0"/>
                <w:sz w:val="24"/>
                <w:szCs w:val="24"/>
              </w:rPr>
              <w:t>退行性</w:t>
            </w:r>
            <w:r>
              <w:rPr>
                <w:rFonts w:hint="eastAsia"/>
                <w:color w:val="000000"/>
                <w:kern w:val="0"/>
                <w:sz w:val="24"/>
                <w:szCs w:val="24"/>
                <w:lang w:eastAsia="zh-CN"/>
              </w:rPr>
              <w:t>腰椎</w:t>
            </w:r>
            <w:r>
              <w:rPr>
                <w:color w:val="000000"/>
                <w:kern w:val="0"/>
                <w:sz w:val="24"/>
                <w:szCs w:val="24"/>
              </w:rPr>
              <w:t>侧凸</w:t>
            </w:r>
            <w:r>
              <w:rPr>
                <w:color w:val="000000"/>
                <w:kern w:val="0"/>
                <w:sz w:val="24"/>
                <w:szCs w:val="24"/>
                <w:lang w:bidi="ar"/>
              </w:rPr>
              <w:t>一体化</w:t>
            </w:r>
            <w:r>
              <w:rPr>
                <w:color w:val="000000"/>
                <w:kern w:val="0"/>
                <w:sz w:val="24"/>
                <w:szCs w:val="24"/>
              </w:rPr>
              <w:t>诊疗体系涵盖了从术前诊断、治疗策略制定，矫形方案设计，运动功能管理，远期神经修复</w:t>
            </w:r>
            <w:r>
              <w:rPr>
                <w:rFonts w:hint="eastAsia"/>
                <w:color w:val="000000"/>
                <w:kern w:val="0"/>
                <w:sz w:val="24"/>
                <w:szCs w:val="24"/>
                <w:lang w:eastAsia="zh-CN"/>
              </w:rPr>
              <w:t>，</w:t>
            </w:r>
            <w:r>
              <w:rPr>
                <w:rFonts w:hint="eastAsia"/>
                <w:color w:val="000000"/>
                <w:kern w:val="0"/>
                <w:sz w:val="24"/>
                <w:szCs w:val="24"/>
                <w:lang w:val="en-US" w:eastAsia="zh-CN"/>
              </w:rPr>
              <w:t>科学精准康复方案</w:t>
            </w:r>
            <w:r>
              <w:rPr>
                <w:color w:val="000000"/>
                <w:kern w:val="0"/>
                <w:sz w:val="24"/>
                <w:szCs w:val="24"/>
              </w:rPr>
              <w:t>的全流程临床路径。</w:t>
            </w:r>
          </w:p>
          <w:p w14:paraId="2937BA86">
            <w:pPr>
              <w:widowControl/>
              <w:spacing w:line="360" w:lineRule="auto"/>
            </w:pPr>
            <w:r>
              <w:rPr>
                <w:color w:val="000000"/>
                <w:kern w:val="0"/>
                <w:sz w:val="24"/>
                <w:szCs w:val="24"/>
                <w:lang w:bidi="ar"/>
              </w:rPr>
              <w:t xml:space="preserve">    </w:t>
            </w:r>
          </w:p>
          <w:p w14:paraId="6A36A162">
            <w:pPr>
              <w:adjustRightInd w:val="0"/>
              <w:snapToGrid w:val="0"/>
              <w:spacing w:line="560" w:lineRule="exact"/>
              <w:rPr>
                <w:rFonts w:eastAsia="微软雅黑"/>
                <w:sz w:val="24"/>
                <w:szCs w:val="24"/>
              </w:rPr>
            </w:pPr>
          </w:p>
          <w:p w14:paraId="06591C3D">
            <w:pPr>
              <w:adjustRightInd w:val="0"/>
              <w:snapToGrid w:val="0"/>
              <w:spacing w:line="560" w:lineRule="exact"/>
              <w:ind w:right="-38" w:rightChars="-18"/>
              <w:jc w:val="left"/>
              <w:rPr>
                <w:rFonts w:eastAsia="新宋体"/>
                <w:sz w:val="24"/>
                <w:szCs w:val="24"/>
              </w:rPr>
            </w:pPr>
          </w:p>
          <w:p w14:paraId="0E75DF96">
            <w:pPr>
              <w:adjustRightInd w:val="0"/>
              <w:snapToGrid w:val="0"/>
              <w:spacing w:line="560" w:lineRule="exact"/>
              <w:ind w:right="-38" w:rightChars="-18"/>
              <w:jc w:val="left"/>
              <w:rPr>
                <w:rFonts w:eastAsia="新宋体"/>
                <w:sz w:val="24"/>
                <w:szCs w:val="24"/>
              </w:rPr>
            </w:pPr>
          </w:p>
          <w:p w14:paraId="744D1A8A">
            <w:pPr>
              <w:adjustRightInd w:val="0"/>
              <w:snapToGrid w:val="0"/>
              <w:spacing w:line="560" w:lineRule="exact"/>
              <w:ind w:right="-38" w:rightChars="-18"/>
              <w:jc w:val="left"/>
              <w:rPr>
                <w:rFonts w:eastAsia="新宋体"/>
                <w:sz w:val="24"/>
                <w:szCs w:val="24"/>
              </w:rPr>
            </w:pPr>
          </w:p>
          <w:p w14:paraId="4576B064">
            <w:pPr>
              <w:adjustRightInd w:val="0"/>
              <w:snapToGrid w:val="0"/>
              <w:spacing w:line="560" w:lineRule="exact"/>
              <w:ind w:right="-38" w:rightChars="-18"/>
              <w:jc w:val="left"/>
              <w:rPr>
                <w:rFonts w:eastAsia="新宋体"/>
                <w:sz w:val="24"/>
                <w:szCs w:val="24"/>
              </w:rPr>
            </w:pPr>
          </w:p>
          <w:p w14:paraId="18EEC226">
            <w:pPr>
              <w:adjustRightInd w:val="0"/>
              <w:snapToGrid w:val="0"/>
              <w:spacing w:line="560" w:lineRule="exact"/>
              <w:ind w:right="-38" w:rightChars="-18"/>
              <w:jc w:val="left"/>
              <w:rPr>
                <w:rFonts w:eastAsia="新宋体"/>
                <w:sz w:val="24"/>
                <w:szCs w:val="24"/>
              </w:rPr>
            </w:pPr>
          </w:p>
          <w:p w14:paraId="49C5930F">
            <w:pPr>
              <w:adjustRightInd w:val="0"/>
              <w:snapToGrid w:val="0"/>
              <w:spacing w:line="560" w:lineRule="exact"/>
              <w:ind w:right="-38" w:rightChars="-18"/>
              <w:jc w:val="left"/>
              <w:rPr>
                <w:rFonts w:eastAsia="新宋体"/>
                <w:sz w:val="24"/>
                <w:szCs w:val="24"/>
              </w:rPr>
            </w:pPr>
          </w:p>
          <w:p w14:paraId="2A696193">
            <w:pPr>
              <w:adjustRightInd w:val="0"/>
              <w:snapToGrid w:val="0"/>
              <w:spacing w:line="560" w:lineRule="exact"/>
              <w:ind w:right="-38" w:rightChars="-18"/>
              <w:jc w:val="left"/>
              <w:rPr>
                <w:rFonts w:eastAsia="新宋体"/>
                <w:sz w:val="24"/>
                <w:szCs w:val="24"/>
              </w:rPr>
            </w:pPr>
          </w:p>
          <w:p w14:paraId="5647BA2B">
            <w:pPr>
              <w:adjustRightInd w:val="0"/>
              <w:snapToGrid w:val="0"/>
              <w:spacing w:line="560" w:lineRule="exact"/>
              <w:ind w:right="-38" w:rightChars="-18"/>
              <w:jc w:val="left"/>
              <w:rPr>
                <w:rFonts w:eastAsia="新宋体"/>
                <w:sz w:val="24"/>
                <w:szCs w:val="24"/>
              </w:rPr>
            </w:pPr>
          </w:p>
          <w:p w14:paraId="122B03EB">
            <w:pPr>
              <w:adjustRightInd w:val="0"/>
              <w:snapToGrid w:val="0"/>
              <w:spacing w:line="560" w:lineRule="exact"/>
              <w:ind w:right="-38" w:rightChars="-18"/>
              <w:jc w:val="left"/>
              <w:rPr>
                <w:rFonts w:eastAsia="新宋体"/>
                <w:sz w:val="24"/>
                <w:szCs w:val="24"/>
              </w:rPr>
            </w:pPr>
          </w:p>
          <w:p w14:paraId="2C79BBD7">
            <w:pPr>
              <w:adjustRightInd w:val="0"/>
              <w:snapToGrid w:val="0"/>
              <w:spacing w:line="560" w:lineRule="exact"/>
              <w:ind w:right="-38" w:rightChars="-18"/>
              <w:jc w:val="left"/>
              <w:rPr>
                <w:rFonts w:eastAsia="新宋体"/>
                <w:sz w:val="24"/>
                <w:szCs w:val="24"/>
              </w:rPr>
            </w:pPr>
          </w:p>
          <w:p w14:paraId="4C0AC61D">
            <w:pPr>
              <w:adjustRightInd w:val="0"/>
              <w:snapToGrid w:val="0"/>
              <w:spacing w:line="560" w:lineRule="exact"/>
              <w:ind w:right="-38" w:rightChars="-18"/>
              <w:jc w:val="left"/>
              <w:rPr>
                <w:rFonts w:eastAsia="新宋体"/>
                <w:sz w:val="24"/>
                <w:szCs w:val="24"/>
              </w:rPr>
            </w:pPr>
          </w:p>
          <w:p w14:paraId="0510C246">
            <w:pPr>
              <w:adjustRightInd w:val="0"/>
              <w:snapToGrid w:val="0"/>
              <w:spacing w:line="560" w:lineRule="exact"/>
              <w:ind w:right="-38" w:rightChars="-18"/>
              <w:jc w:val="left"/>
              <w:rPr>
                <w:rFonts w:eastAsia="新宋体"/>
                <w:sz w:val="24"/>
                <w:szCs w:val="24"/>
              </w:rPr>
            </w:pPr>
          </w:p>
          <w:p w14:paraId="640C20D0">
            <w:pPr>
              <w:adjustRightInd w:val="0"/>
              <w:snapToGrid w:val="0"/>
              <w:spacing w:line="560" w:lineRule="exact"/>
              <w:ind w:right="-38" w:rightChars="-18"/>
              <w:jc w:val="left"/>
              <w:rPr>
                <w:rFonts w:eastAsia="新宋体"/>
                <w:sz w:val="24"/>
                <w:szCs w:val="24"/>
              </w:rPr>
            </w:pPr>
          </w:p>
          <w:p w14:paraId="5C28CF26">
            <w:pPr>
              <w:adjustRightInd w:val="0"/>
              <w:snapToGrid w:val="0"/>
              <w:spacing w:line="560" w:lineRule="exact"/>
              <w:ind w:right="-38" w:rightChars="-18"/>
              <w:jc w:val="left"/>
              <w:rPr>
                <w:rFonts w:eastAsia="新宋体"/>
                <w:sz w:val="24"/>
                <w:szCs w:val="24"/>
              </w:rPr>
            </w:pPr>
          </w:p>
          <w:p w14:paraId="3557A19B">
            <w:pPr>
              <w:adjustRightInd w:val="0"/>
              <w:snapToGrid w:val="0"/>
              <w:spacing w:line="300" w:lineRule="auto"/>
              <w:ind w:right="-38" w:rightChars="-18"/>
              <w:jc w:val="left"/>
              <w:rPr>
                <w:rFonts w:hint="eastAsia" w:ascii="微软雅黑" w:hAnsi="微软雅黑" w:eastAsia="微软雅黑" w:cs="宋体"/>
                <w:color w:val="000000"/>
                <w:kern w:val="0"/>
                <w:sz w:val="24"/>
                <w:szCs w:val="24"/>
              </w:rPr>
            </w:pPr>
          </w:p>
        </w:tc>
      </w:tr>
      <w:tr w14:paraId="6E66D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64" w:hRule="atLeast"/>
          <w:jc w:val="center"/>
        </w:trPr>
        <w:tc>
          <w:tcPr>
            <w:tcW w:w="1877" w:type="dxa"/>
            <w:tcBorders>
              <w:top w:val="single" w:color="000000" w:sz="4" w:space="0"/>
              <w:left w:val="single" w:color="000000" w:sz="4" w:space="0"/>
              <w:bottom w:val="single" w:color="000000" w:sz="4" w:space="0"/>
              <w:right w:val="single" w:color="000000" w:sz="4" w:space="0"/>
            </w:tcBorders>
            <w:noWrap w:val="0"/>
            <w:vAlign w:val="center"/>
          </w:tcPr>
          <w:p w14:paraId="11157BA9">
            <w:pPr>
              <w:ind w:right="-38" w:rightChars="-18"/>
              <w:jc w:val="center"/>
              <w:rPr>
                <w:rFonts w:ascii="仿宋_GB2312" w:hAnsi="宋体" w:eastAsia="仿宋_GB2312" w:cs="宋体"/>
                <w:color w:val="000000"/>
                <w:kern w:val="0"/>
                <w:sz w:val="24"/>
                <w:szCs w:val="24"/>
              </w:rPr>
            </w:pPr>
            <w:r>
              <w:rPr>
                <w:rFonts w:hint="eastAsia" w:ascii="仿宋_GB2312" w:hAnsi="宋体" w:eastAsia="仿宋_GB2312" w:cs="宋体"/>
                <w:b/>
                <w:color w:val="000000"/>
                <w:kern w:val="0"/>
                <w:sz w:val="24"/>
                <w:szCs w:val="24"/>
              </w:rPr>
              <w:t>主要技术支撑材料</w:t>
            </w:r>
          </w:p>
        </w:tc>
        <w:tc>
          <w:tcPr>
            <w:tcW w:w="7904" w:type="dxa"/>
            <w:tcBorders>
              <w:top w:val="single" w:color="000000" w:sz="4" w:space="0"/>
              <w:left w:val="single" w:color="000000" w:sz="4" w:space="0"/>
              <w:bottom w:val="single" w:color="000000" w:sz="4" w:space="0"/>
              <w:right w:val="single" w:color="000000" w:sz="4" w:space="0"/>
            </w:tcBorders>
            <w:noWrap w:val="0"/>
            <w:vAlign w:val="top"/>
          </w:tcPr>
          <w:p w14:paraId="08C7A58E">
            <w:pPr>
              <w:tabs>
                <w:tab w:val="left" w:pos="7971"/>
              </w:tabs>
              <w:adjustRightInd w:val="0"/>
              <w:snapToGrid w:val="0"/>
              <w:spacing w:line="360" w:lineRule="auto"/>
              <w:rPr>
                <w:b/>
                <w:color w:val="000000"/>
                <w:sz w:val="24"/>
                <w:szCs w:val="24"/>
              </w:rPr>
            </w:pPr>
            <w:r>
              <w:rPr>
                <w:b/>
                <w:color w:val="000000"/>
                <w:sz w:val="24"/>
                <w:szCs w:val="24"/>
              </w:rPr>
              <w:t>知识产权和标准规范</w:t>
            </w:r>
          </w:p>
          <w:p w14:paraId="66D7CDF7">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[1]朱如森</w:t>
            </w:r>
            <w:r>
              <w:rPr>
                <w:rFonts w:hint="eastAsia"/>
                <w:color w:val="000000"/>
                <w:sz w:val="24"/>
                <w:szCs w:val="24"/>
                <w:lang w:val="en-US" w:eastAsia="zh-CN"/>
              </w:rPr>
              <w:t>等</w:t>
            </w:r>
            <w:r>
              <w:rPr>
                <w:color w:val="000000"/>
                <w:sz w:val="24"/>
                <w:szCs w:val="24"/>
              </w:rPr>
              <w:t>.偏头螺钉,</w:t>
            </w:r>
            <w:r>
              <w:rPr>
                <w:rFonts w:hint="eastAsia"/>
                <w:color w:val="000000"/>
                <w:sz w:val="24"/>
                <w:szCs w:val="24"/>
                <w:lang w:eastAsia="zh-CN"/>
              </w:rPr>
              <w:t>腰椎</w:t>
            </w:r>
            <w:r>
              <w:rPr>
                <w:color w:val="000000"/>
                <w:sz w:val="24"/>
                <w:szCs w:val="24"/>
              </w:rPr>
              <w:t>矫正固定系统以及螺钉安装工具: CN202111163197.7[P]. CN113827329A</w:t>
            </w:r>
          </w:p>
          <w:p w14:paraId="1F0CBAB9">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[2]张洪杰等.椎间盘缝合补片: 202321895423[P]. CN221357269U</w:t>
            </w:r>
          </w:p>
          <w:p w14:paraId="186A04C0">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[3]朱如森</w:t>
            </w:r>
            <w:r>
              <w:rPr>
                <w:rFonts w:hint="eastAsia"/>
                <w:color w:val="000000"/>
                <w:sz w:val="24"/>
                <w:szCs w:val="24"/>
                <w:lang w:val="en-US" w:eastAsia="zh-CN"/>
              </w:rPr>
              <w:t>等</w:t>
            </w:r>
            <w:r>
              <w:rPr>
                <w:color w:val="000000"/>
                <w:sz w:val="24"/>
                <w:szCs w:val="24"/>
              </w:rPr>
              <w:t>.一种电动骨钻: CN202210578648.1[P]. CN114795379A</w:t>
            </w:r>
          </w:p>
          <w:p w14:paraId="07FAC95D">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[4]朱如森</w:t>
            </w:r>
            <w:r>
              <w:rPr>
                <w:rFonts w:hint="eastAsia"/>
                <w:color w:val="000000"/>
                <w:sz w:val="24"/>
                <w:szCs w:val="24"/>
                <w:lang w:val="en-US" w:eastAsia="zh-CN"/>
              </w:rPr>
              <w:t>等</w:t>
            </w:r>
            <w:r>
              <w:rPr>
                <w:color w:val="000000"/>
                <w:sz w:val="24"/>
                <w:szCs w:val="24"/>
              </w:rPr>
              <w:t>.一种电动丝攻: CN202221274355.6[P]. CN218572244U</w:t>
            </w:r>
          </w:p>
          <w:p w14:paraId="7B67239F">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[5]朱如森</w:t>
            </w:r>
            <w:r>
              <w:rPr>
                <w:rFonts w:hint="eastAsia"/>
                <w:color w:val="000000"/>
                <w:sz w:val="24"/>
                <w:szCs w:val="24"/>
                <w:lang w:val="en-US" w:eastAsia="zh-CN"/>
              </w:rPr>
              <w:t>等</w:t>
            </w:r>
            <w:r>
              <w:rPr>
                <w:color w:val="000000"/>
                <w:sz w:val="24"/>
                <w:szCs w:val="24"/>
              </w:rPr>
              <w:t>.一种微创椎弓根钉植入装置: CN202221272703.6[P]. CN217566283U</w:t>
            </w:r>
          </w:p>
          <w:p w14:paraId="0686601A">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[6]朱如森</w:t>
            </w:r>
            <w:r>
              <w:rPr>
                <w:rFonts w:hint="eastAsia"/>
                <w:color w:val="000000"/>
                <w:sz w:val="24"/>
                <w:szCs w:val="24"/>
                <w:lang w:val="en-US" w:eastAsia="zh-CN"/>
              </w:rPr>
              <w:t>等</w:t>
            </w:r>
            <w:r>
              <w:rPr>
                <w:color w:val="000000"/>
                <w:sz w:val="24"/>
                <w:szCs w:val="24"/>
              </w:rPr>
              <w:t>.一种尾钉调整装置: 202123214395[P]. CN217472061U</w:t>
            </w:r>
          </w:p>
          <w:p w14:paraId="6E623C7D">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[7]朱如森</w:t>
            </w:r>
            <w:r>
              <w:rPr>
                <w:rFonts w:hint="eastAsia"/>
                <w:color w:val="000000"/>
                <w:sz w:val="24"/>
                <w:szCs w:val="24"/>
                <w:lang w:val="en-US" w:eastAsia="zh-CN"/>
              </w:rPr>
              <w:t>等</w:t>
            </w:r>
            <w:r>
              <w:rPr>
                <w:color w:val="000000"/>
                <w:sz w:val="24"/>
                <w:szCs w:val="24"/>
              </w:rPr>
              <w:t>.一种</w:t>
            </w:r>
            <w:r>
              <w:rPr>
                <w:rFonts w:hint="eastAsia"/>
                <w:color w:val="000000"/>
                <w:sz w:val="24"/>
                <w:szCs w:val="24"/>
                <w:lang w:val="en-US" w:eastAsia="zh-CN"/>
              </w:rPr>
              <w:t>脊柱</w:t>
            </w:r>
            <w:r>
              <w:rPr>
                <w:color w:val="000000"/>
                <w:sz w:val="24"/>
                <w:szCs w:val="24"/>
              </w:rPr>
              <w:t>植入物静态及疲劳性能测试工装: 202123124353[P]. CN217155808U</w:t>
            </w:r>
          </w:p>
          <w:p w14:paraId="30E4CCD1">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[8]张洪杰等.单通道同轴双腔水介质</w:t>
            </w:r>
            <w:r>
              <w:rPr>
                <w:rFonts w:hint="eastAsia"/>
                <w:color w:val="000000"/>
                <w:sz w:val="24"/>
                <w:szCs w:val="24"/>
                <w:lang w:val="en-US" w:eastAsia="zh-CN"/>
              </w:rPr>
              <w:t>脊柱</w:t>
            </w:r>
            <w:r>
              <w:rPr>
                <w:color w:val="000000"/>
                <w:sz w:val="24"/>
                <w:szCs w:val="24"/>
              </w:rPr>
              <w:t>后路内镜: CN202121334223.3[P]. CN215191388U</w:t>
            </w:r>
          </w:p>
          <w:p w14:paraId="35C5EF43">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[9]张洪杰等.同轴双腔水介质</w:t>
            </w:r>
            <w:r>
              <w:rPr>
                <w:rFonts w:hint="eastAsia"/>
                <w:color w:val="000000"/>
                <w:sz w:val="24"/>
                <w:szCs w:val="24"/>
                <w:lang w:val="en-US" w:eastAsia="zh-CN"/>
              </w:rPr>
              <w:t>脊柱</w:t>
            </w:r>
            <w:r>
              <w:rPr>
                <w:color w:val="000000"/>
                <w:sz w:val="24"/>
                <w:szCs w:val="24"/>
              </w:rPr>
              <w:t>后路内镜通道系统: CN202110424074.8[P]. CN113017540A</w:t>
            </w:r>
          </w:p>
          <w:p w14:paraId="6D2F1E33">
            <w:pPr>
              <w:tabs>
                <w:tab w:val="left" w:pos="7971"/>
              </w:tabs>
              <w:suppressAutoHyphens/>
              <w:kinsoku w:val="0"/>
              <w:wordWrap w:val="0"/>
              <w:adjustRightInd w:val="0"/>
              <w:snapToGrid w:val="0"/>
              <w:spacing w:line="360" w:lineRule="auto"/>
              <w:jc w:val="left"/>
              <w:rPr>
                <w:color w:val="000000"/>
                <w:sz w:val="24"/>
                <w:szCs w:val="24"/>
              </w:rPr>
            </w:pPr>
            <w:r>
              <w:rPr>
                <w:color w:val="000000"/>
                <w:sz w:val="24"/>
                <w:szCs w:val="24"/>
              </w:rPr>
              <w:t>[10]张洪杰等.一种椎间孔镜用可视套管组合件: CN201921942461.5[P]. CN211484698U</w:t>
            </w:r>
          </w:p>
          <w:p w14:paraId="6CBC6562">
            <w:pPr>
              <w:tabs>
                <w:tab w:val="left" w:pos="7971"/>
              </w:tabs>
              <w:adjustRightInd w:val="0"/>
              <w:snapToGrid w:val="0"/>
              <w:spacing w:line="360" w:lineRule="auto"/>
              <w:rPr>
                <w:color w:val="000000"/>
                <w:sz w:val="24"/>
                <w:szCs w:val="24"/>
              </w:rPr>
            </w:pPr>
          </w:p>
          <w:p w14:paraId="590A08B3">
            <w:pPr>
              <w:tabs>
                <w:tab w:val="left" w:pos="7971"/>
              </w:tabs>
              <w:adjustRightInd w:val="0"/>
              <w:snapToGrid w:val="0"/>
              <w:spacing w:line="360" w:lineRule="auto"/>
              <w:jc w:val="left"/>
              <w:rPr>
                <w:b/>
                <w:color w:val="000000"/>
                <w:sz w:val="24"/>
                <w:szCs w:val="24"/>
              </w:rPr>
            </w:pPr>
            <w:r>
              <w:rPr>
                <w:b/>
                <w:color w:val="000000"/>
                <w:sz w:val="24"/>
                <w:szCs w:val="24"/>
              </w:rPr>
              <w:t>代表性论文</w:t>
            </w:r>
          </w:p>
          <w:p w14:paraId="33530E73">
            <w:pPr>
              <w:numPr>
                <w:ilvl w:val="0"/>
                <w:numId w:val="1"/>
              </w:numPr>
              <w:tabs>
                <w:tab w:val="left" w:pos="7971"/>
              </w:tabs>
              <w:adjustRightInd w:val="0"/>
              <w:snapToGrid w:val="0"/>
              <w:spacing w:line="360" w:lineRule="auto"/>
              <w:ind w:left="0" w:leftChars="0" w:firstLine="400" w:firstLineChars="0"/>
              <w:jc w:val="both"/>
              <w:rPr>
                <w:rFonts w:hint="eastAsia"/>
                <w:color w:val="000000"/>
                <w:sz w:val="24"/>
                <w:szCs w:val="24"/>
              </w:rPr>
            </w:pPr>
            <w:r>
              <w:rPr>
                <w:rFonts w:hint="eastAsia"/>
                <w:color w:val="000000" w:themeColor="text1"/>
                <w:sz w:val="24"/>
                <w:szCs w:val="24"/>
                <w14:textFill>
                  <w14:solidFill>
                    <w14:schemeClr w14:val="tx1"/>
                  </w14:solidFill>
                </w14:textFill>
              </w:rPr>
              <w:t xml:space="preserve">Jiang, Z., Liu, Z., Li, C., Fu, X., Yu, H., Wang, X., Zhang, M., Liu, L., Cheng, Y., Du, W., &amp; Zhu, R. (2025). The correction range of lumbosacral curve vertebral body tilt in degenerative scoliosis for achieving postoperative coronal balance. BMC musculoskeletal disorders, 26(1), 401.  </w:t>
            </w:r>
            <w:r>
              <w:rPr>
                <w:rFonts w:hint="eastAsia"/>
                <w:color w:val="000000" w:themeColor="text1"/>
                <w:sz w:val="24"/>
                <w:szCs w:val="24"/>
                <w:lang w:val="en-US" w:eastAsia="zh-CN"/>
                <w14:textFill>
                  <w14:solidFill>
                    <w14:schemeClr w14:val="tx1"/>
                  </w14:solidFill>
                </w14:textFill>
              </w:rPr>
              <w:t>doi</w:t>
            </w:r>
            <w:r>
              <w:rPr>
                <w:rFonts w:hint="eastAsia"/>
                <w:color w:val="000000" w:themeColor="text1"/>
                <w:sz w:val="24"/>
                <w:szCs w:val="24"/>
                <w14:textFill>
                  <w14:solidFill>
                    <w14:schemeClr w14:val="tx1"/>
                  </w14:solidFill>
                </w14:textFill>
              </w:rPr>
              <w:t>: 10.1186/s12891-025-08655-3</w:t>
            </w:r>
          </w:p>
          <w:p w14:paraId="18536C46">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李传旭,刘子扬,付玄昊,等. 腰骶弯椎体角度水平化在退行性</w:t>
            </w:r>
            <w:r>
              <w:rPr>
                <w:rFonts w:hint="eastAsia"/>
                <w:color w:val="000000" w:themeColor="text1"/>
                <w:sz w:val="24"/>
                <w:szCs w:val="24"/>
                <w:lang w:val="en-US" w:eastAsia="zh-CN"/>
                <w14:textFill>
                  <w14:solidFill>
                    <w14:schemeClr w14:val="tx1"/>
                  </w14:solidFill>
                </w14:textFill>
              </w:rPr>
              <w:t>脊柱</w:t>
            </w:r>
            <w:r>
              <w:rPr>
                <w:rFonts w:hint="eastAsia"/>
                <w:color w:val="000000" w:themeColor="text1"/>
                <w:sz w:val="24"/>
                <w:szCs w:val="24"/>
                <w14:textFill>
                  <w14:solidFill>
                    <w14:schemeClr w14:val="tx1"/>
                  </w14:solidFill>
                </w14:textFill>
              </w:rPr>
              <w:t>侧凸冠状位矫正中的意义[J]. 中国</w:t>
            </w:r>
            <w:r>
              <w:rPr>
                <w:rFonts w:hint="eastAsia"/>
                <w:color w:val="000000" w:themeColor="text1"/>
                <w:sz w:val="24"/>
                <w:szCs w:val="24"/>
                <w:lang w:eastAsia="zh-CN"/>
                <w14:textFill>
                  <w14:solidFill>
                    <w14:schemeClr w14:val="tx1"/>
                  </w14:solidFill>
                </w14:textFill>
              </w:rPr>
              <w:t>腰椎</w:t>
            </w:r>
            <w:r>
              <w:rPr>
                <w:rFonts w:hint="eastAsia"/>
                <w:color w:val="000000" w:themeColor="text1"/>
                <w:sz w:val="24"/>
                <w:szCs w:val="24"/>
                <w14:textFill>
                  <w14:solidFill>
                    <w14:schemeClr w14:val="tx1"/>
                  </w14:solidFill>
                </w14:textFill>
              </w:rPr>
              <w:t xml:space="preserve">脊髓杂志,2024,34(10):1030-1037. </w:t>
            </w:r>
          </w:p>
          <w:p w14:paraId="7BC819B6">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Zhou M, Liu L, Chen Z, et al. Characteristics of paraspinal muscle degeneration in patients with adult degenerative scoliosis. Eur Spine J. 2023;32(11):4020-4029. doi:10.1007/s00586-023-07940-w</w:t>
            </w:r>
          </w:p>
          <w:p w14:paraId="5274107A">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Liu L, Jiang Z, Fu X, et al. Effect of Paravertebral Muscle Degeneration on Lumbar and Pelvic Sagittal Alignment in Patients With Degenerative Scoliosis. Global Spine J. Published online August 13, 2024. doi:10.1177/21925682241274729</w:t>
            </w:r>
          </w:p>
          <w:p w14:paraId="7C386238">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Zhang H, Hong Z, Jiang Z, Hu W, Hu J, Zhu R. miR-29b-3p Affects the Hypertrophy of Ligamentum Flavum in Lumbar Spinal Stenosis and its Mechanism. Biochem Genet. Published online April 16, 2024. doi:10.1007/s10528-024-10811-8</w:t>
            </w:r>
          </w:p>
          <w:p w14:paraId="2B4D1942">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Wang C, Shang S, Hou M, Wang J, Kang Y, Lou Y, Wang W, Zhao H, Chen L, Zhou</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H, Feng S. Epidemiological age-based differences in traumatic spinal cord injury</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patients: A multicenter study based on 13,334 inpatients. J Spinal Cord Med.</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2024 Mar 1:1-9. doi: 10.1080/10790268.2024.2309716. Epub ahead of print. PMID:</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38426946.</w:t>
            </w:r>
          </w:p>
          <w:p w14:paraId="4EF9A63B">
            <w:pPr>
              <w:numPr>
                <w:ilvl w:val="0"/>
                <w:numId w:val="1"/>
              </w:numPr>
              <w:tabs>
                <w:tab w:val="left" w:pos="7971"/>
              </w:tabs>
              <w:adjustRightInd w:val="0"/>
              <w:snapToGrid w:val="0"/>
              <w:spacing w:line="360" w:lineRule="auto"/>
              <w:ind w:left="0" w:leftChars="0" w:firstLine="400" w:firstLineChars="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Ning GZ, Song WY, Xu H, et al. Bone marrow mesenchymal stem cells stimulated with low-intensity pulsed ultrasound: Better choice of transplantation treatment for spinal cord injury: Treatment for SCI by LIPUS-BMSCs transplantation. CNS Neurosci Ther. 2019;25(4):496-508. doi:10.1111/cns.13071</w:t>
            </w:r>
          </w:p>
          <w:p w14:paraId="1730FD42">
            <w:pPr>
              <w:numPr>
                <w:ilvl w:val="0"/>
                <w:numId w:val="1"/>
              </w:numPr>
              <w:tabs>
                <w:tab w:val="left" w:pos="7971"/>
              </w:tabs>
              <w:adjustRightInd w:val="0"/>
              <w:snapToGrid w:val="0"/>
              <w:spacing w:line="360" w:lineRule="auto"/>
              <w:ind w:left="0" w:leftChars="0" w:firstLine="400" w:firstLineChars="0"/>
              <w:jc w:val="both"/>
              <w:rPr>
                <w:rFonts w:hint="eastAsia"/>
                <w:color w:val="000000"/>
                <w:sz w:val="24"/>
                <w:szCs w:val="24"/>
              </w:rPr>
            </w:pPr>
            <w:r>
              <w:rPr>
                <w:rFonts w:hint="eastAsia"/>
                <w:color w:val="000000" w:themeColor="text1"/>
                <w:sz w:val="24"/>
                <w:szCs w:val="24"/>
                <w14:textFill>
                  <w14:solidFill>
                    <w14:schemeClr w14:val="tx1"/>
                  </w14:solidFill>
                </w14:textFill>
              </w:rPr>
              <w:t>Xing C, Jia Z, Qu H, Liu S, Jiang W, Zhong H, Zhou M, Zhu S, Ning G, Feng S.</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Correlation Analysis Between Magnetic Resonance Imaging-Based Anatomical</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Assessment and Behavioral Outcome in a Rat Contusion Model of Chronic Thoracic</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Spinal Cord Injury. Front Neurosci. 2022 Apr 21;16:838786. doi:10.3389/fnins.2022.838786</w:t>
            </w:r>
          </w:p>
        </w:tc>
      </w:tr>
    </w:tbl>
    <w:p w14:paraId="381AD777">
      <w:pPr>
        <w:tabs>
          <w:tab w:val="left" w:pos="3780"/>
        </w:tabs>
        <w:rPr>
          <w:rFonts w:ascii="仿宋_GB2312" w:hAnsi="宋体" w:eastAsia="仿宋_GB2312" w:cs="宋体"/>
          <w:color w:val="000000"/>
          <w:kern w:val="0"/>
          <w:sz w:val="32"/>
          <w:szCs w:val="32"/>
        </w:rPr>
      </w:pPr>
    </w:p>
    <w:sectPr>
      <w:pgSz w:w="11906" w:h="16838"/>
      <w:pgMar w:top="1985" w:right="1558" w:bottom="1418" w:left="15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3CDC1"/>
    <w:multiLevelType w:val="singleLevel"/>
    <w:tmpl w:val="D6A3CDC1"/>
    <w:lvl w:ilvl="0" w:tentative="0">
      <w:start w:val="1"/>
      <w:numFmt w:val="decimal"/>
      <w:suff w:val="nothing"/>
      <w:lvlText w:val="%1．"/>
      <w:lvlJc w:val="left"/>
      <w:pPr>
        <w:ind w:left="0" w:firstLine="400"/>
      </w:pPr>
      <w:rPr>
        <w:rFonts w:hint="default"/>
        <w:color w:val="000000" w:themeColor="text1"/>
        <w14:textFill>
          <w14:solidFill>
            <w14:schemeClr w14:val="tx1"/>
          </w14:solidFill>
        </w14:textFil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iZDIzMjBhYjY3YjcwYmIxYWI1NjM4YzVmYjEyMDMifQ=="/>
  </w:docVars>
  <w:rsids>
    <w:rsidRoot w:val="003A5DE6"/>
    <w:rsid w:val="00005EE6"/>
    <w:rsid w:val="00015655"/>
    <w:rsid w:val="00036464"/>
    <w:rsid w:val="00041FBB"/>
    <w:rsid w:val="00052F5C"/>
    <w:rsid w:val="000673E7"/>
    <w:rsid w:val="0009177F"/>
    <w:rsid w:val="000D6CF8"/>
    <w:rsid w:val="00103A5C"/>
    <w:rsid w:val="001257AB"/>
    <w:rsid w:val="001976AD"/>
    <w:rsid w:val="001C1833"/>
    <w:rsid w:val="001D2A31"/>
    <w:rsid w:val="001E3132"/>
    <w:rsid w:val="001F2023"/>
    <w:rsid w:val="002221FC"/>
    <w:rsid w:val="00231C93"/>
    <w:rsid w:val="002843E4"/>
    <w:rsid w:val="002939A0"/>
    <w:rsid w:val="002B027A"/>
    <w:rsid w:val="002C6105"/>
    <w:rsid w:val="00337808"/>
    <w:rsid w:val="003409C4"/>
    <w:rsid w:val="00357E00"/>
    <w:rsid w:val="00372AB0"/>
    <w:rsid w:val="00374052"/>
    <w:rsid w:val="00384BD9"/>
    <w:rsid w:val="003A5DE6"/>
    <w:rsid w:val="003D4402"/>
    <w:rsid w:val="003D4828"/>
    <w:rsid w:val="003E050F"/>
    <w:rsid w:val="003E08E5"/>
    <w:rsid w:val="003E3D72"/>
    <w:rsid w:val="00406601"/>
    <w:rsid w:val="00424CF0"/>
    <w:rsid w:val="00425BF4"/>
    <w:rsid w:val="004726E6"/>
    <w:rsid w:val="00486338"/>
    <w:rsid w:val="00487668"/>
    <w:rsid w:val="004C23AF"/>
    <w:rsid w:val="00525ADD"/>
    <w:rsid w:val="0055034C"/>
    <w:rsid w:val="00584999"/>
    <w:rsid w:val="005C5F0F"/>
    <w:rsid w:val="005E21A8"/>
    <w:rsid w:val="00610E75"/>
    <w:rsid w:val="00631806"/>
    <w:rsid w:val="00650FDB"/>
    <w:rsid w:val="006555E4"/>
    <w:rsid w:val="00666ECF"/>
    <w:rsid w:val="006844EE"/>
    <w:rsid w:val="007008E1"/>
    <w:rsid w:val="007014BA"/>
    <w:rsid w:val="00730321"/>
    <w:rsid w:val="00750094"/>
    <w:rsid w:val="00785341"/>
    <w:rsid w:val="00786CA6"/>
    <w:rsid w:val="0079239C"/>
    <w:rsid w:val="007B01BD"/>
    <w:rsid w:val="007B3BC8"/>
    <w:rsid w:val="007D29E1"/>
    <w:rsid w:val="00837D58"/>
    <w:rsid w:val="008454A7"/>
    <w:rsid w:val="00855056"/>
    <w:rsid w:val="00880E58"/>
    <w:rsid w:val="0089167C"/>
    <w:rsid w:val="0089369C"/>
    <w:rsid w:val="008B659E"/>
    <w:rsid w:val="008B799E"/>
    <w:rsid w:val="008E28E7"/>
    <w:rsid w:val="008E4009"/>
    <w:rsid w:val="008F3D3B"/>
    <w:rsid w:val="00916B44"/>
    <w:rsid w:val="0093581A"/>
    <w:rsid w:val="009436DA"/>
    <w:rsid w:val="00944361"/>
    <w:rsid w:val="00950291"/>
    <w:rsid w:val="00972E31"/>
    <w:rsid w:val="009A0DC2"/>
    <w:rsid w:val="009D4CD9"/>
    <w:rsid w:val="00A13FCA"/>
    <w:rsid w:val="00A15295"/>
    <w:rsid w:val="00A62089"/>
    <w:rsid w:val="00AB604B"/>
    <w:rsid w:val="00AC4DD6"/>
    <w:rsid w:val="00AD0C2C"/>
    <w:rsid w:val="00AD6B93"/>
    <w:rsid w:val="00B20CBA"/>
    <w:rsid w:val="00B74D0F"/>
    <w:rsid w:val="00B96760"/>
    <w:rsid w:val="00BC3C32"/>
    <w:rsid w:val="00BC6724"/>
    <w:rsid w:val="00BD5F17"/>
    <w:rsid w:val="00BE1ED4"/>
    <w:rsid w:val="00BF2FB5"/>
    <w:rsid w:val="00C03EA8"/>
    <w:rsid w:val="00C61971"/>
    <w:rsid w:val="00CD78E9"/>
    <w:rsid w:val="00CF6026"/>
    <w:rsid w:val="00D0594D"/>
    <w:rsid w:val="00D13FB9"/>
    <w:rsid w:val="00D65270"/>
    <w:rsid w:val="00DB673E"/>
    <w:rsid w:val="00DC1807"/>
    <w:rsid w:val="00DC49B8"/>
    <w:rsid w:val="00DC68D7"/>
    <w:rsid w:val="00DE093E"/>
    <w:rsid w:val="00DE6BD7"/>
    <w:rsid w:val="00DF1088"/>
    <w:rsid w:val="00E129E7"/>
    <w:rsid w:val="00E132AA"/>
    <w:rsid w:val="00E708AD"/>
    <w:rsid w:val="00E70950"/>
    <w:rsid w:val="00E73422"/>
    <w:rsid w:val="00EB6B72"/>
    <w:rsid w:val="00F0223E"/>
    <w:rsid w:val="00F35124"/>
    <w:rsid w:val="00F552E0"/>
    <w:rsid w:val="00F836E9"/>
    <w:rsid w:val="00F9371C"/>
    <w:rsid w:val="00FB2F22"/>
    <w:rsid w:val="00FB4442"/>
    <w:rsid w:val="00FB6FF8"/>
    <w:rsid w:val="06C5765B"/>
    <w:rsid w:val="09623DD9"/>
    <w:rsid w:val="09A60DC8"/>
    <w:rsid w:val="09F14F0B"/>
    <w:rsid w:val="0A2070CA"/>
    <w:rsid w:val="0B705986"/>
    <w:rsid w:val="0B821632"/>
    <w:rsid w:val="0D430ACE"/>
    <w:rsid w:val="0E0A384D"/>
    <w:rsid w:val="0F807488"/>
    <w:rsid w:val="1D492719"/>
    <w:rsid w:val="22A5210D"/>
    <w:rsid w:val="23132EB5"/>
    <w:rsid w:val="244804C2"/>
    <w:rsid w:val="28AA02D8"/>
    <w:rsid w:val="2ACB77CC"/>
    <w:rsid w:val="2B0F184A"/>
    <w:rsid w:val="2BF76517"/>
    <w:rsid w:val="2E9C2616"/>
    <w:rsid w:val="329040C4"/>
    <w:rsid w:val="338D0850"/>
    <w:rsid w:val="341C6E56"/>
    <w:rsid w:val="34CD2128"/>
    <w:rsid w:val="366F082A"/>
    <w:rsid w:val="36CA5847"/>
    <w:rsid w:val="371F0BB3"/>
    <w:rsid w:val="40462D25"/>
    <w:rsid w:val="40856569"/>
    <w:rsid w:val="45FD4563"/>
    <w:rsid w:val="47F66981"/>
    <w:rsid w:val="493A58A8"/>
    <w:rsid w:val="498875C7"/>
    <w:rsid w:val="4AF62C56"/>
    <w:rsid w:val="4D6F458F"/>
    <w:rsid w:val="4EAD5C7D"/>
    <w:rsid w:val="532F7EB8"/>
    <w:rsid w:val="53E977FC"/>
    <w:rsid w:val="5F4D3766"/>
    <w:rsid w:val="61F555BE"/>
    <w:rsid w:val="639C2195"/>
    <w:rsid w:val="63F43071"/>
    <w:rsid w:val="64351901"/>
    <w:rsid w:val="674C7A2E"/>
    <w:rsid w:val="69AC3878"/>
    <w:rsid w:val="69B83094"/>
    <w:rsid w:val="6BC95166"/>
    <w:rsid w:val="70A117B2"/>
    <w:rsid w:val="71BB4EFB"/>
    <w:rsid w:val="71CB40A5"/>
    <w:rsid w:val="73D71DA1"/>
    <w:rsid w:val="77B674AB"/>
    <w:rsid w:val="77DF5B71"/>
    <w:rsid w:val="79096BA0"/>
    <w:rsid w:val="79B3003B"/>
    <w:rsid w:val="7BD320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Date"/>
    <w:basedOn w:val="1"/>
    <w:next w:val="1"/>
    <w:link w:val="9"/>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unhideWhenUsed/>
    <w:qFormat/>
    <w:uiPriority w:val="99"/>
    <w:rPr>
      <w:color w:val="0000FF"/>
      <w:u w:val="single"/>
    </w:rPr>
  </w:style>
  <w:style w:type="character" w:customStyle="1" w:styleId="9">
    <w:name w:val="日期 字符"/>
    <w:link w:val="2"/>
    <w:semiHidden/>
    <w:qFormat/>
    <w:uiPriority w:val="99"/>
    <w:rPr>
      <w:kern w:val="2"/>
      <w:sz w:val="21"/>
      <w:szCs w:val="22"/>
    </w:rPr>
  </w:style>
  <w:style w:type="character" w:customStyle="1" w:styleId="10">
    <w:name w:val="页脚 字符"/>
    <w:link w:val="3"/>
    <w:semiHidden/>
    <w:qFormat/>
    <w:uiPriority w:val="99"/>
    <w:rPr>
      <w:sz w:val="18"/>
      <w:szCs w:val="18"/>
    </w:rPr>
  </w:style>
  <w:style w:type="character" w:customStyle="1" w:styleId="11">
    <w:name w:val="页眉 字符"/>
    <w:link w:val="4"/>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4</Pages>
  <Words>1666</Words>
  <Characters>3383</Characters>
  <Lines>29</Lines>
  <Paragraphs>8</Paragraphs>
  <TotalTime>23</TotalTime>
  <ScaleCrop>false</ScaleCrop>
  <LinksUpToDate>false</LinksUpToDate>
  <CharactersWithSpaces>3764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2024-08-29T10:37:00Z</dcterms:created>
  <dc:creator>Administrator</dc:creator>
  <cp:lastModifiedBy>庞晋伟</cp:lastModifiedBy>
  <cp:lastPrinted>2022-08-17T02:59:00Z</cp:lastPrinted>
  <dcterms:modified xsi:type="dcterms:W3CDTF">2025-08-25T07:52:21Z</dcterms:modified>
  <dc:title>2016年度“131”创新型人才培养工程</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4CD966EE49B740BDADF395E902E1756B_13</vt:lpwstr>
  </property>
  <property fmtid="{D5CDD505-2E9C-101B-9397-08002B2CF9AE}" pid="4" name="KSOTemplateDocerSaveRecord">
    <vt:lpwstr>eyJoZGlkIjoiZTA4NzIyN2MxYTlmMzQ1NGE2MjU5NWRkMjhlOGMxYTAiLCJ1c2VySWQiOiI1ODUwNjMyMjMifQ==</vt:lpwstr>
  </property>
</Properties>
</file>