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D4D4D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D4D4D"/>
          <w:spacing w:val="0"/>
          <w:sz w:val="27"/>
          <w:szCs w:val="27"/>
          <w:lang w:val="en-US" w:eastAsia="zh-CN"/>
        </w:rPr>
        <w:t>全自动化学发光测定仪及耗材参数</w:t>
      </w:r>
    </w:p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D4D4D"/>
          <w:spacing w:val="0"/>
          <w:sz w:val="27"/>
          <w:szCs w:val="27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exact"/>
        <w:jc w:val="center"/>
        <w:textAlignment w:val="auto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设备参数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522" w:type="dxa"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设备参数名称：全自动化学发光测定仪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067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测试原理：吖啶酯化学发光；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、*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检测速度：≧150T/H；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3、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de-DE" w:eastAsia="zh-CN"/>
              </w:rPr>
              <w:t>最快出结果时间：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≦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de-DE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de-DE" w:eastAsia="zh-CN"/>
              </w:rPr>
              <w:t>min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4、同时分析项目：≧14个项目；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5、进样仓：轨道式进样，样本位≧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50个，可以连续添加样本；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6、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Hans"/>
              </w:rPr>
              <w:t>仪器具备采血管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自动上样，自动摇匀，自动脱帽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Hans"/>
              </w:rPr>
              <w:t>功能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de-DE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7、仪器试剂位:≧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14个；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8、试剂仓：冷藏温度2-8℃；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9、样本类型包含：全血、外周末梢血、血清、血浆、尿液；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10、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具有HCT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检测模块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：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精准测量红细胞压积，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保证全血检测准确；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11、采用钢针加样，具有液面探测、随量跟踪、立体防撞、气泡检测等功能；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12、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加样针：一次性TIP；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13、反应杯材质：一次性塑料杯；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14、反应盘恒温方式：采用恒温槽固体直热，日常免维护保养；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15、混匀方式：非接触式偏心涡旋混匀；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16、磁分离系统：洗涤次数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≥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3次，具备底物注入功能；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17、耗材不停机自动更换；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18、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试剂位与样本位相互独立，避免交叉污染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19、仪器系统接口包含：TCP/IP网络接口、标准RS-232C、USB 2.0接口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20、自动报警，诊断，可与LIS系统连接；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21、校准模式内置主曲线，二维码识别，配套校准品校正;4PLC定量分析算法cutoff定性分析算法；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22、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尺寸：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≤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625X660X690mm；重量：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≤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75KG；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23、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*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检测项目包含：心肌标志物（高敏肌钙蛋白I，高敏肌钙蛋白T，BNP，NT-pro BNP,CK-MB，MYO、D二聚体）、炎症(CRP、SAA、PCT、IL-6、HBP），甲状腺功能，性激素，肿瘤标志物，骨代谢，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术前八项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，糖代谢</w:t>
            </w:r>
            <w:r>
              <w:rPr>
                <w:rFonts w:hint="default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，高血压</w:t>
            </w: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，血栓等。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both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exact"/>
        <w:jc w:val="both"/>
        <w:textAlignment w:val="auto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exact"/>
        <w:jc w:val="center"/>
        <w:textAlignment w:val="auto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耗材参数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945"/>
        <w:gridCol w:w="4425"/>
        <w:gridCol w:w="3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耗材名称</w:t>
            </w:r>
          </w:p>
        </w:tc>
        <w:tc>
          <w:tcPr>
            <w:tcW w:w="3152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N-端脑利纳肽前体检测试剂盒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化学发光免疫分析法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超敏肌钙蛋白Ⅰ检测试剂盒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化学发光免疫分析法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肌红蛋白检测试剂盒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化学发光免疫分析法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肌酸激酶同工酶检测试剂盒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化学发光免疫分析法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D-二聚体检测试剂盒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化学发光免疫分析法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MAGICL6000耗材盒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满足国家、行业标准及采购人相关要求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激发液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满足国家、行业标准及采购人相关要求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200" w:line="360" w:lineRule="exact"/>
              <w:jc w:val="center"/>
              <w:textAlignment w:val="auto"/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4425" w:type="dxa"/>
            <w:vAlign w:val="center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清洗液</w:t>
            </w:r>
          </w:p>
        </w:tc>
        <w:tc>
          <w:tcPr>
            <w:tcW w:w="3152" w:type="dxa"/>
          </w:tcPr>
          <w:p>
            <w:pPr>
              <w:pageBreakBefore w:val="0"/>
              <w:kinsoku/>
              <w:overflowPunct/>
              <w:topLinePunct w:val="0"/>
              <w:bidi w:val="0"/>
              <w:spacing w:line="460" w:lineRule="exact"/>
              <w:jc w:val="center"/>
              <w:outlineLvl w:val="9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满足国家、行业标准及采购人相关要求</w:t>
            </w:r>
          </w:p>
        </w:tc>
      </w:tr>
    </w:tbl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exact"/>
        <w:jc w:val="both"/>
        <w:textAlignment w:val="auto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00" w:line="360" w:lineRule="exact"/>
        <w:jc w:val="both"/>
        <w:textAlignment w:val="auto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20E9239"/>
    <w:multiLevelType w:val="singleLevel"/>
    <w:tmpl w:val="D20E923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00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2025-11-25T08:50:44Z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