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34D10">
      <w:pPr>
        <w:rPr>
          <w:rFonts w:hint="eastAsia" w:ascii="宋体" w:hAnsi="宋体" w:cs="宋体"/>
          <w:b/>
          <w:bCs/>
          <w:sz w:val="24"/>
        </w:rPr>
      </w:pPr>
      <w:bookmarkStart w:id="0" w:name="_GoBack"/>
      <w:bookmarkEnd w:id="0"/>
    </w:p>
    <w:tbl>
      <w:tblPr>
        <w:tblStyle w:val="5"/>
        <w:tblW w:w="9978" w:type="dxa"/>
        <w:tblInd w:w="-7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9"/>
        <w:gridCol w:w="1896"/>
        <w:gridCol w:w="697"/>
        <w:gridCol w:w="1200"/>
        <w:gridCol w:w="1853"/>
        <w:gridCol w:w="1972"/>
        <w:gridCol w:w="1821"/>
      </w:tblGrid>
      <w:tr w14:paraId="66D110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539" w:type="dxa"/>
            <w:vMerge w:val="restart"/>
            <w:vAlign w:val="center"/>
          </w:tcPr>
          <w:p w14:paraId="242C2F2E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  <w:t>标段</w:t>
            </w:r>
          </w:p>
        </w:tc>
        <w:tc>
          <w:tcPr>
            <w:tcW w:w="1896" w:type="dxa"/>
            <w:vMerge w:val="restart"/>
            <w:vAlign w:val="center"/>
          </w:tcPr>
          <w:p w14:paraId="55F2F017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  <w:t>名称</w:t>
            </w:r>
          </w:p>
        </w:tc>
        <w:tc>
          <w:tcPr>
            <w:tcW w:w="697" w:type="dxa"/>
            <w:vMerge w:val="restart"/>
            <w:vAlign w:val="center"/>
          </w:tcPr>
          <w:p w14:paraId="3BFC7A0E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  <w:lang w:eastAsia="zh-CN"/>
              </w:rPr>
              <w:t>分类</w:t>
            </w:r>
          </w:p>
        </w:tc>
        <w:tc>
          <w:tcPr>
            <w:tcW w:w="1200" w:type="dxa"/>
            <w:vMerge w:val="restart"/>
            <w:vAlign w:val="center"/>
          </w:tcPr>
          <w:p w14:paraId="68847438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  <w:t>数量</w:t>
            </w:r>
          </w:p>
        </w:tc>
        <w:tc>
          <w:tcPr>
            <w:tcW w:w="3825" w:type="dxa"/>
            <w:gridSpan w:val="2"/>
            <w:vAlign w:val="center"/>
          </w:tcPr>
          <w:p w14:paraId="052E4213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  <w:t>最高单价限价</w:t>
            </w:r>
          </w:p>
          <w:p w14:paraId="1B4A1FFE">
            <w:pPr>
              <w:autoSpaceDE w:val="0"/>
              <w:autoSpaceDN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  <w:t>（元）</w:t>
            </w:r>
          </w:p>
        </w:tc>
        <w:tc>
          <w:tcPr>
            <w:tcW w:w="1821" w:type="dxa"/>
            <w:vAlign w:val="center"/>
          </w:tcPr>
          <w:p w14:paraId="79984EE1">
            <w:pPr>
              <w:autoSpaceDE w:val="0"/>
              <w:autoSpaceDN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lang w:eastAsia="zh-CN"/>
              </w:rPr>
              <w:t>备注</w:t>
            </w:r>
          </w:p>
        </w:tc>
      </w:tr>
      <w:tr w14:paraId="45AFB5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539" w:type="dxa"/>
            <w:vMerge w:val="continue"/>
            <w:vAlign w:val="center"/>
          </w:tcPr>
          <w:p w14:paraId="1C8A5BFC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</w:p>
        </w:tc>
        <w:tc>
          <w:tcPr>
            <w:tcW w:w="1896" w:type="dxa"/>
            <w:vMerge w:val="continue"/>
            <w:vAlign w:val="center"/>
          </w:tcPr>
          <w:p w14:paraId="157BC33E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</w:p>
        </w:tc>
        <w:tc>
          <w:tcPr>
            <w:tcW w:w="697" w:type="dxa"/>
            <w:vMerge w:val="continue"/>
            <w:vAlign w:val="center"/>
          </w:tcPr>
          <w:p w14:paraId="7E0A03D6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</w:p>
        </w:tc>
        <w:tc>
          <w:tcPr>
            <w:tcW w:w="1200" w:type="dxa"/>
            <w:vMerge w:val="continue"/>
            <w:vAlign w:val="center"/>
          </w:tcPr>
          <w:p w14:paraId="1C19C302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47272594">
            <w:pPr>
              <w:autoSpaceDE w:val="0"/>
              <w:autoSpaceDN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lang w:val="en-US" w:eastAsia="zh-CN"/>
              </w:rPr>
              <w:t>更正前</w:t>
            </w:r>
          </w:p>
        </w:tc>
        <w:tc>
          <w:tcPr>
            <w:tcW w:w="1972" w:type="dxa"/>
            <w:shd w:val="clear" w:color="auto" w:fill="auto"/>
            <w:vAlign w:val="center"/>
          </w:tcPr>
          <w:p w14:paraId="41E1D913">
            <w:pPr>
              <w:autoSpaceDE w:val="0"/>
              <w:autoSpaceDN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lang w:eastAsia="zh-CN"/>
              </w:rPr>
              <w:t>正更后</w:t>
            </w:r>
          </w:p>
        </w:tc>
        <w:tc>
          <w:tcPr>
            <w:tcW w:w="1821" w:type="dxa"/>
            <w:vMerge w:val="restart"/>
            <w:vAlign w:val="center"/>
          </w:tcPr>
          <w:p w14:paraId="037C6610">
            <w:pPr>
              <w:autoSpaceDE w:val="0"/>
              <w:autoSpaceDN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highlight w:val="none"/>
                <w:lang w:eastAsia="zh-CN"/>
              </w:rPr>
              <w:t>该标段耗材需要提供样品</w:t>
            </w:r>
          </w:p>
          <w:p w14:paraId="5704C110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  <w:lang w:eastAsia="zh-CN"/>
              </w:rPr>
              <w:t>耗材的数量以采购人实际需求为准，据实结算</w:t>
            </w:r>
          </w:p>
        </w:tc>
      </w:tr>
      <w:tr w14:paraId="341EB4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539" w:type="dxa"/>
            <w:vMerge w:val="restart"/>
            <w:vAlign w:val="center"/>
          </w:tcPr>
          <w:p w14:paraId="20F2F272">
            <w:pPr>
              <w:autoSpaceDE w:val="0"/>
              <w:autoSpaceDN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lang w:val="en-US" w:eastAsia="zh-CN"/>
              </w:rPr>
              <w:t>B</w:t>
            </w:r>
          </w:p>
        </w:tc>
        <w:tc>
          <w:tcPr>
            <w:tcW w:w="1896" w:type="dxa"/>
            <w:vAlign w:val="center"/>
          </w:tcPr>
          <w:p w14:paraId="45955C63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  <w:t>一次性射频等离子</w:t>
            </w:r>
          </w:p>
          <w:p w14:paraId="722C771B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  <w:t>手术刀头（1）</w:t>
            </w:r>
          </w:p>
        </w:tc>
        <w:tc>
          <w:tcPr>
            <w:tcW w:w="697" w:type="dxa"/>
            <w:vMerge w:val="restart"/>
          </w:tcPr>
          <w:p w14:paraId="6781F853">
            <w:pPr>
              <w:autoSpaceDE w:val="0"/>
              <w:autoSpaceDN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  <w:t>耗材</w:t>
            </w:r>
          </w:p>
        </w:tc>
        <w:tc>
          <w:tcPr>
            <w:tcW w:w="1200" w:type="dxa"/>
            <w:vAlign w:val="center"/>
          </w:tcPr>
          <w:p w14:paraId="42997CE2">
            <w:pPr>
              <w:autoSpaceDE w:val="0"/>
              <w:autoSpaceDN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lang w:eastAsia="zh-CN"/>
              </w:rPr>
              <w:t>1</w:t>
            </w:r>
            <w:r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  <w:t>（暂估）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5F4CB2FD">
            <w:pPr>
              <w:autoSpaceDE w:val="0"/>
              <w:autoSpaceDN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-SA"/>
              </w:rPr>
              <w:t>1200</w:t>
            </w:r>
          </w:p>
        </w:tc>
        <w:tc>
          <w:tcPr>
            <w:tcW w:w="1972" w:type="dxa"/>
            <w:shd w:val="clear" w:color="auto" w:fill="auto"/>
            <w:vAlign w:val="center"/>
          </w:tcPr>
          <w:p w14:paraId="3047C967">
            <w:pPr>
              <w:autoSpaceDE w:val="0"/>
              <w:autoSpaceDN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lang w:eastAsia="zh-CN"/>
              </w:rPr>
              <w:t>1400</w:t>
            </w:r>
          </w:p>
        </w:tc>
        <w:tc>
          <w:tcPr>
            <w:tcW w:w="1821" w:type="dxa"/>
            <w:vMerge w:val="continue"/>
            <w:vAlign w:val="center"/>
          </w:tcPr>
          <w:p w14:paraId="7CB4D8CE">
            <w:pPr>
              <w:autoSpaceDE w:val="0"/>
              <w:autoSpaceDN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2"/>
                <w:highlight w:val="yellow"/>
                <w:lang w:eastAsia="zh-CN"/>
              </w:rPr>
            </w:pPr>
          </w:p>
        </w:tc>
      </w:tr>
      <w:tr w14:paraId="10C7A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539" w:type="dxa"/>
            <w:vMerge w:val="continue"/>
            <w:vAlign w:val="center"/>
          </w:tcPr>
          <w:p w14:paraId="4CA558B0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zh-CN"/>
              </w:rPr>
            </w:pPr>
          </w:p>
        </w:tc>
        <w:tc>
          <w:tcPr>
            <w:tcW w:w="1896" w:type="dxa"/>
            <w:vAlign w:val="center"/>
          </w:tcPr>
          <w:p w14:paraId="6FC52C5B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  <w:t>一次性射频等离子</w:t>
            </w:r>
          </w:p>
          <w:p w14:paraId="1E64E14F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  <w:t>手术刀头（2）</w:t>
            </w:r>
          </w:p>
        </w:tc>
        <w:tc>
          <w:tcPr>
            <w:tcW w:w="697" w:type="dxa"/>
            <w:vMerge w:val="continue"/>
          </w:tcPr>
          <w:p w14:paraId="758587D0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</w:p>
        </w:tc>
        <w:tc>
          <w:tcPr>
            <w:tcW w:w="1200" w:type="dxa"/>
            <w:vAlign w:val="center"/>
          </w:tcPr>
          <w:p w14:paraId="27EA99EE">
            <w:pPr>
              <w:autoSpaceDE w:val="0"/>
              <w:autoSpaceDN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lang w:eastAsia="zh-CN"/>
              </w:rPr>
              <w:t>1</w:t>
            </w:r>
            <w:r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  <w:t>（暂估）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4F9CA761">
            <w:pPr>
              <w:autoSpaceDE w:val="0"/>
              <w:autoSpaceDN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-SA"/>
              </w:rPr>
              <w:t>1400</w:t>
            </w:r>
          </w:p>
        </w:tc>
        <w:tc>
          <w:tcPr>
            <w:tcW w:w="1972" w:type="dxa"/>
            <w:shd w:val="clear" w:color="auto" w:fill="auto"/>
            <w:vAlign w:val="center"/>
          </w:tcPr>
          <w:p w14:paraId="27F6E37A">
            <w:pPr>
              <w:autoSpaceDE w:val="0"/>
              <w:autoSpaceDN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lang w:eastAsia="zh-CN"/>
              </w:rPr>
              <w:t>1960</w:t>
            </w:r>
          </w:p>
        </w:tc>
        <w:tc>
          <w:tcPr>
            <w:tcW w:w="1821" w:type="dxa"/>
            <w:vMerge w:val="continue"/>
            <w:vAlign w:val="center"/>
          </w:tcPr>
          <w:p w14:paraId="66AAC594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</w:p>
        </w:tc>
      </w:tr>
      <w:tr w14:paraId="3C7D34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539" w:type="dxa"/>
            <w:vMerge w:val="continue"/>
            <w:vAlign w:val="center"/>
          </w:tcPr>
          <w:p w14:paraId="4A447335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</w:p>
        </w:tc>
        <w:tc>
          <w:tcPr>
            <w:tcW w:w="1896" w:type="dxa"/>
            <w:vAlign w:val="center"/>
          </w:tcPr>
          <w:p w14:paraId="49650608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  <w:t>一次性射频等离子</w:t>
            </w:r>
          </w:p>
          <w:p w14:paraId="1E0A35B9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  <w:t>手术刀头（3）</w:t>
            </w:r>
          </w:p>
        </w:tc>
        <w:tc>
          <w:tcPr>
            <w:tcW w:w="697" w:type="dxa"/>
            <w:vMerge w:val="continue"/>
          </w:tcPr>
          <w:p w14:paraId="1215F196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</w:p>
        </w:tc>
        <w:tc>
          <w:tcPr>
            <w:tcW w:w="1200" w:type="dxa"/>
            <w:vAlign w:val="center"/>
          </w:tcPr>
          <w:p w14:paraId="0A054A20">
            <w:pPr>
              <w:autoSpaceDE w:val="0"/>
              <w:autoSpaceDN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lang w:eastAsia="zh-CN"/>
              </w:rPr>
              <w:t>1</w:t>
            </w:r>
            <w:r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  <w:t>（暂估）</w:t>
            </w:r>
          </w:p>
        </w:tc>
        <w:tc>
          <w:tcPr>
            <w:tcW w:w="1853" w:type="dxa"/>
            <w:vAlign w:val="center"/>
          </w:tcPr>
          <w:p w14:paraId="04245901">
            <w:pPr>
              <w:autoSpaceDE w:val="0"/>
              <w:autoSpaceDN w:val="0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lang w:val="en-US" w:eastAsia="zh-CN"/>
              </w:rPr>
              <w:t>1960</w:t>
            </w:r>
          </w:p>
        </w:tc>
        <w:tc>
          <w:tcPr>
            <w:tcW w:w="1972" w:type="dxa"/>
            <w:shd w:val="clear" w:color="auto" w:fill="auto"/>
            <w:vAlign w:val="center"/>
          </w:tcPr>
          <w:p w14:paraId="3958208E">
            <w:pPr>
              <w:autoSpaceDE w:val="0"/>
              <w:autoSpaceDN w:val="0"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lang w:eastAsia="zh-CN"/>
              </w:rPr>
              <w:t>1200</w:t>
            </w:r>
          </w:p>
        </w:tc>
        <w:tc>
          <w:tcPr>
            <w:tcW w:w="1821" w:type="dxa"/>
            <w:vMerge w:val="continue"/>
            <w:vAlign w:val="center"/>
          </w:tcPr>
          <w:p w14:paraId="07D1D481">
            <w:pPr>
              <w:autoSpaceDE w:val="0"/>
              <w:autoSpaceDN w:val="0"/>
              <w:spacing w:line="3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2"/>
                <w:lang w:eastAsia="en-US"/>
              </w:rPr>
            </w:pPr>
          </w:p>
        </w:tc>
      </w:tr>
    </w:tbl>
    <w:p w14:paraId="6ED02164">
      <w:pPr>
        <w:widowControl/>
        <w:spacing w:line="360" w:lineRule="auto"/>
        <w:jc w:val="both"/>
        <w:rPr>
          <w:rFonts w:hint="eastAsia" w:ascii="宋体" w:hAnsi="宋体" w:cs="宋体"/>
          <w:b/>
          <w:bCs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664D163">
      <w:pPr>
        <w:widowControl/>
        <w:spacing w:line="360" w:lineRule="auto"/>
        <w:jc w:val="center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（二）耗材参数</w:t>
      </w:r>
    </w:p>
    <w:tbl>
      <w:tblPr>
        <w:tblStyle w:val="3"/>
        <w:tblW w:w="0" w:type="auto"/>
        <w:tblInd w:w="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2149"/>
        <w:gridCol w:w="5628"/>
        <w:gridCol w:w="5628"/>
      </w:tblGrid>
      <w:tr w14:paraId="0C376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664" w:type="dxa"/>
            <w:vAlign w:val="center"/>
          </w:tcPr>
          <w:p w14:paraId="2168007A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49" w:type="dxa"/>
            <w:vAlign w:val="center"/>
          </w:tcPr>
          <w:p w14:paraId="4885144F">
            <w:pPr>
              <w:spacing w:line="46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256" w:type="dxa"/>
            <w:gridSpan w:val="2"/>
            <w:vAlign w:val="center"/>
          </w:tcPr>
          <w:p w14:paraId="4ACB7AD9">
            <w:pPr>
              <w:spacing w:line="46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技术要求</w:t>
            </w:r>
          </w:p>
        </w:tc>
      </w:tr>
      <w:tr w14:paraId="071A0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664" w:type="dxa"/>
            <w:vAlign w:val="center"/>
          </w:tcPr>
          <w:p w14:paraId="64C185E0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序号</w:t>
            </w:r>
          </w:p>
        </w:tc>
        <w:tc>
          <w:tcPr>
            <w:tcW w:w="2149" w:type="dxa"/>
            <w:vAlign w:val="center"/>
          </w:tcPr>
          <w:p w14:paraId="6F39C414"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耗材</w:t>
            </w:r>
            <w:r>
              <w:rPr>
                <w:rFonts w:hint="eastAsia" w:ascii="宋体" w:hAnsi="宋体" w:eastAsia="宋体" w:cs="宋体"/>
                <w:sz w:val="24"/>
              </w:rPr>
              <w:t>名称</w:t>
            </w:r>
          </w:p>
        </w:tc>
        <w:tc>
          <w:tcPr>
            <w:tcW w:w="5628" w:type="dxa"/>
            <w:vAlign w:val="center"/>
          </w:tcPr>
          <w:p w14:paraId="7562D7B8">
            <w:pPr>
              <w:spacing w:line="460" w:lineRule="exact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更正前</w:t>
            </w:r>
          </w:p>
        </w:tc>
        <w:tc>
          <w:tcPr>
            <w:tcW w:w="5628" w:type="dxa"/>
            <w:vAlign w:val="center"/>
          </w:tcPr>
          <w:p w14:paraId="5F4C6171">
            <w:pPr>
              <w:spacing w:line="460" w:lineRule="exact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更正后</w:t>
            </w:r>
          </w:p>
        </w:tc>
      </w:tr>
      <w:tr w14:paraId="564C3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64" w:type="dxa"/>
            <w:vAlign w:val="center"/>
          </w:tcPr>
          <w:p w14:paraId="2CFDA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2149" w:type="dxa"/>
            <w:vAlign w:val="center"/>
          </w:tcPr>
          <w:p w14:paraId="19CFD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一次性射频等离子手术刀头（1）</w:t>
            </w:r>
          </w:p>
        </w:tc>
        <w:tc>
          <w:tcPr>
            <w:tcW w:w="5628" w:type="dxa"/>
            <w:vAlign w:val="center"/>
          </w:tcPr>
          <w:p w14:paraId="55A759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适用于甲状腺切除术，具有切割、止血、凝固、剥离、夹持、吸引于一体。带有滴注吸引通道，不焦痂、不粘刀、不产生烟雾，配合专用主机使用，低温更高效。解剖器输出对术后缝合伤口有明显平整度低温切割，对处理甲状腺和喉返神经有效保护，手柄长度≤30.0㎜，工作端长度≤132.0㎜，电极丝长度≤8.3㎜。</w:t>
            </w:r>
          </w:p>
        </w:tc>
        <w:tc>
          <w:tcPr>
            <w:tcW w:w="5628" w:type="dxa"/>
            <w:shd w:val="clear"/>
            <w:vAlign w:val="center"/>
          </w:tcPr>
          <w:p w14:paraId="14F4A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应用于扁桃体/腺样体切除术，UPPP和CAUP手术，具有吸引，切割，止血功能，易接触后鼻处的增生组织，刀头部有折弯标志，更易折弯：工作长度≤122mm，绝缘头直径φ≤4.4mm，弯曲角度≤30°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</w:tc>
      </w:tr>
      <w:tr w14:paraId="1CD3D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64" w:type="dxa"/>
            <w:vAlign w:val="center"/>
          </w:tcPr>
          <w:p w14:paraId="4715C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</w:t>
            </w:r>
          </w:p>
        </w:tc>
        <w:tc>
          <w:tcPr>
            <w:tcW w:w="2149" w:type="dxa"/>
            <w:vAlign w:val="center"/>
          </w:tcPr>
          <w:p w14:paraId="29768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一次性射频等离子手术刀头（2）</w:t>
            </w:r>
          </w:p>
        </w:tc>
        <w:tc>
          <w:tcPr>
            <w:tcW w:w="5628" w:type="dxa"/>
            <w:shd w:val="clear" w:color="auto" w:fill="auto"/>
            <w:vAlign w:val="center"/>
          </w:tcPr>
          <w:p w14:paraId="43E36E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应用于扁桃体/腺样体切除术，UPPP和CAUP手术，具有吸引，切割，止血功能，易接触后鼻处的增生组织，刀头部有折弯标志，更易折弯：工作长度≤122mm，绝缘头直径φ≤4.4mm，弯曲角度≤30°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5628" w:type="dxa"/>
            <w:shd w:val="clear"/>
            <w:vAlign w:val="center"/>
          </w:tcPr>
          <w:p w14:paraId="3BA8A5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cs="宋体" w:eastAsiaTheme="minorEastAsia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用于鼻颅底，鼻部肿瘤：手柄长度≤166.0mm，工作端长度≤150.0mm，绝缘头直径≤4.5mm。具有滴注、吸引通道，液体双通路进出，外钢管特殊材质，可方便折弯。</w:t>
            </w:r>
          </w:p>
        </w:tc>
      </w:tr>
      <w:tr w14:paraId="448AD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64" w:type="dxa"/>
            <w:vAlign w:val="center"/>
          </w:tcPr>
          <w:p w14:paraId="430213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</w:t>
            </w:r>
          </w:p>
        </w:tc>
        <w:tc>
          <w:tcPr>
            <w:tcW w:w="2149" w:type="dxa"/>
            <w:vAlign w:val="center"/>
          </w:tcPr>
          <w:p w14:paraId="41A32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一次性射频等离子手术刀头（3）</w:t>
            </w:r>
          </w:p>
        </w:tc>
        <w:tc>
          <w:tcPr>
            <w:tcW w:w="5628" w:type="dxa"/>
            <w:shd w:val="clear" w:color="auto" w:fill="auto"/>
            <w:vAlign w:val="center"/>
          </w:tcPr>
          <w:p w14:paraId="2AF02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cs="宋体" w:eastAsiaTheme="minorEastAsia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用于鼻颅底，鼻部肿瘤：手柄长度≤166.0mm，工作端长度≤150.0mm，绝缘头直径≤4.5mm。具有滴注、吸引通道，液体双通路进出，外钢管特殊材质，可方便折弯。</w:t>
            </w:r>
          </w:p>
        </w:tc>
        <w:tc>
          <w:tcPr>
            <w:tcW w:w="5628" w:type="dxa"/>
            <w:shd w:val="clear"/>
            <w:vAlign w:val="center"/>
          </w:tcPr>
          <w:p w14:paraId="0CFA8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cs="宋体" w:eastAsiaTheme="minorEastAsia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适用于甲状腺切除术，具有切割、止血、凝固、剥离、夹持、吸引于一体。带有滴注吸引通道，不焦痂、不粘刀、不产生烟雾，配合专用主机使用，低温更高效。解剖器输出对术后缝合伤口有明显平整度低温切割，对处理甲状腺和喉返神经有效保护，手柄长度≤30.0㎜，工作端长度≤132.0㎜，电极丝长度≤8.3㎜。</w:t>
            </w:r>
          </w:p>
        </w:tc>
      </w:tr>
    </w:tbl>
    <w:p w14:paraId="73481711">
      <w:pPr>
        <w:shd w:val="clear" w:color="auto" w:fill="FFFFFF"/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1D0F70E3"/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CB3D1E"/>
    <w:rsid w:val="59CB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2025-12-17T01:00:00Z</dcterms:created>
  <dc:creator>赵伟杰</dc:creator>
  <cp:lastModifiedBy>赵伟杰</cp:lastModifiedBy>
  <dcterms:modified xsi:type="dcterms:W3CDTF">2025-12-17T01:08:53Z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C7642A00B0CE40218BCBF6C5FF384DA7_11</vt:lpwstr>
  </property>
  <property fmtid="{D5CDD505-2E9C-101B-9397-08002B2CF9AE}" pid="4" name="KSOTemplateDocerSaveRecord">
    <vt:lpwstr>eyJoZGlkIjoiMWZlOGMyNzU0NDE2NzYzMGE0MWRhNmUwMzM1OWU0OGEiLCJ1c2VySWQiOiIxNDYwMjQ5NTM2In0=</vt:lpwstr>
  </property>
</Properties>
</file>