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62604">
      <w:pPr>
        <w:pStyle w:val="3"/>
        <w:numPr>
          <w:ilvl w:val="0"/>
          <w:numId w:val="0"/>
        </w:numPr>
        <w:ind w:leftChars="0"/>
        <w:jc w:val="center"/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德宏州人民医院</w:t>
      </w:r>
    </w:p>
    <w:p w14:paraId="2DD847A5">
      <w:pPr>
        <w:pStyle w:val="3"/>
        <w:numPr>
          <w:ilvl w:val="0"/>
          <w:numId w:val="0"/>
        </w:numPr>
        <w:ind w:left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患者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多功能自助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终端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000000" w:themeColor="text1"/>
          <w:kern w:val="2"/>
          <w:sz w:val="44"/>
          <w:szCs w:val="4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需求</w:t>
      </w:r>
    </w:p>
    <w:p w14:paraId="32813975">
      <w:pPr>
        <w:spacing w:line="360" w:lineRule="auto"/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一、项目基本情况 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6E636BE4">
      <w:pPr>
        <w:spacing w:line="360" w:lineRule="auto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项目名称：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患者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4D4D4D"/>
          <w:spacing w:val="0"/>
          <w:sz w:val="32"/>
          <w:szCs w:val="32"/>
          <w:highlight w:val="none"/>
        </w:rPr>
        <w:t>多功能自助终端采购</w:t>
      </w:r>
    </w:p>
    <w:p w14:paraId="6E4F6CDB">
      <w:pPr>
        <w:spacing w:line="360" w:lineRule="auto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预算金额：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1872000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元</w:t>
      </w:r>
    </w:p>
    <w:p w14:paraId="41EF0DFE">
      <w:pPr>
        <w:spacing w:line="360" w:lineRule="auto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/>
          <w:lang w:val="en-US" w:eastAsia="zh-CN"/>
          <w14:textFill>
            <w14:solidFill>
              <w14:schemeClr w14:val="tx1"/>
            </w14:solidFill>
          </w14:textFill>
        </w:rPr>
        <w:t>拟采购数量：21台</w:t>
      </w:r>
    </w:p>
    <w:p w14:paraId="320A7123">
      <w:pPr>
        <w:spacing w:line="360" w:lineRule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二、功能需求</w:t>
      </w:r>
    </w:p>
    <w:p w14:paraId="0149B5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本院初步计划在老院区、西院区、传染病院部署患者多功能自助终端，设备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须具备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以下核心功能：</w:t>
      </w:r>
    </w:p>
    <w:p w14:paraId="054CE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（一）自助建档功能</w:t>
      </w:r>
    </w:p>
    <w:p w14:paraId="62DAD9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支持通过多种介质完成患者建档，包括二代身份证、医保电子凭证、电子健康码、社保卡（含三代社保卡）、外国人永久居留身份证/港澳台胞证，以及微信刷脸、支付宝刷脸、医保刷脸等生物识别方式。通过多元化建档渠道保障患者信息采集的全面性与便捷性，为就医结算、信息调取提供基础支撑，有效提升医院服务效率。</w:t>
      </w:r>
    </w:p>
    <w:p w14:paraId="1BDE64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（二）挂号/签到取号/医技预约功能</w:t>
      </w:r>
    </w:p>
    <w:p w14:paraId="4F81BE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实现自助挂号、预约、签到及挂号单打印全流程服务；可与院内排队叫号系统无缝对接，完成门诊等场景的签到取号操作；支持患者通过终端自主办理医技项目预约，并同步完成相关费用缴纳，简化就医流程。</w:t>
      </w:r>
    </w:p>
    <w:p w14:paraId="6F4CCE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）自助结算功能</w:t>
      </w:r>
    </w:p>
    <w:p w14:paraId="489FA2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支持处方费、检验检查费、体检费、医技费、住院预交金充值等多类费用结算；提供多元化支付方式，涵盖微信扫码、支付宝扫码、社保卡支付（支持特慢病、个人账户、医保组合支付、统筹报销）、医保电子凭证支付（支持特慢病、个人账户、医保组合支付、统筹报销）、医保刷脸支付（支持特慢病、个人账户、医保组合支付、统筹报销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现金支付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国际信用卡支付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；医保刷脸模块须通过国家医保局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Ⅲ类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医保综合服务终端相关检测，可实现患者实名信息核验及医保缴费全流程操作。</w:t>
      </w:r>
    </w:p>
    <w:p w14:paraId="2FE7C7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）自助退费功能</w:t>
      </w:r>
    </w:p>
    <w:p w14:paraId="1F3976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可与医院HIS系统（医院信息系统）精准对接，实现全交易渠道的原路退款操作，保障退费流程规范高效。</w:t>
      </w:r>
    </w:p>
    <w:p w14:paraId="4C904F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）单据打印功能</w:t>
      </w:r>
    </w:p>
    <w:p w14:paraId="645280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支持A4、A5、热敏纸等多规格纸张打印，可输出导诊单、电子病历、检查检验报告、心电报告、住院日清单等各类就医单据；需满足电子票据打印要求，按照云南省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财政厅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相关规定对接博思电子票据接口，实现“医疗非税电子票据”的正常开具与打印。</w:t>
      </w:r>
    </w:p>
    <w:p w14:paraId="071E6C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）条码扫描功能</w:t>
      </w:r>
    </w:p>
    <w:p w14:paraId="19E2E9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支持医保电子凭证扫码缴费及电子居民健康卡扫码就医，提升支付与就诊核验的便捷性。</w:t>
      </w:r>
    </w:p>
    <w:p w14:paraId="6B90D3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）适老化就医服务功能</w:t>
      </w:r>
    </w:p>
    <w:p w14:paraId="54ADB1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终端需融入适老化设计理念，可自动识别老年患者并切换至关怀模式；优化操作流程，减少不必要环节，例如老年患者挂号时可自动预约最近就诊时段号源，降低操作难度。</w:t>
      </w:r>
    </w:p>
    <w:p w14:paraId="4978FF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）耗材监控功能</w:t>
      </w:r>
    </w:p>
    <w:p w14:paraId="0040A3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配套提供后台监控管理系统，可实时监控终端耗材余量、设备模块运行状态、网络连接状态等关键信息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并通过平台集中展示；当出现耗材耗尽、模块故障等异常情况时，可通过移动端即时发送警报信息，保障设备稳定运行。</w:t>
      </w:r>
    </w:p>
    <w:p w14:paraId="4C6CB5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九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）国产化兼容要求</w:t>
      </w:r>
    </w:p>
    <w:p w14:paraId="7C743A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为适配医院后续国产化升级替代规划，多功能自助终端须与国产化操作系统兼容适配，并提供该型号设备与国产化操作系统的适配认证证书。</w:t>
      </w:r>
    </w:p>
    <w:p w14:paraId="7F7EB5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十</w:t>
      </w:r>
      <w:r>
        <w:rPr>
          <w:rFonts w:hint="default" w:ascii="方正楷体_GB2312" w:hAnsi="方正楷体_GB2312" w:eastAsia="方正楷体_GB2312" w:cs="方正楷体_GB2312"/>
          <w:b/>
          <w:bCs/>
          <w:i w:val="0"/>
          <w:iCs w:val="0"/>
          <w:caps w:val="0"/>
          <w:color w:val="4D4D4D"/>
          <w:spacing w:val="0"/>
          <w:sz w:val="32"/>
          <w:szCs w:val="32"/>
          <w:highlight w:val="none"/>
          <w:lang w:val="en-US" w:eastAsia="zh-CN"/>
        </w:rPr>
        <w:t>）其他辅助功能</w:t>
      </w:r>
    </w:p>
    <w:p w14:paraId="57DC79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提供医院介绍、药品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价格等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信息查询、诊疗项目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价格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查询、就诊记录查询、缴费记录查询、挂号记录查询等便民服务功能，全方位满足患者就医信息获取需求。</w:t>
      </w:r>
    </w:p>
    <w:p w14:paraId="5AEC2C5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性能需求</w:t>
      </w:r>
    </w:p>
    <w:p w14:paraId="6D307E6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1. 稳定性：设备需支持7×24小时连续运行，各零部件须满足长时间稳定高效工作要求，保障就医高峰期设备无故障运行。</w:t>
      </w:r>
    </w:p>
    <w:p w14:paraId="42A996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2. 兼容性：硬件采用主流配置，确保与本院现有医疗系统兼容；设备软硬件须免费接入本院HIS系统，保障数据互通与业务协同。</w:t>
      </w:r>
    </w:p>
    <w:p w14:paraId="797298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3. 开放性：采用开放式硬件结构设计，便于日常维护、故障检修及零部件更换。</w:t>
      </w:r>
    </w:p>
    <w:p w14:paraId="6EAB80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4. 适应性：具备良好的环境适应性，可在不同温度、湿度及电压条件下正常工作，适应医院不同院区的安装环境。</w:t>
      </w:r>
    </w:p>
    <w:p w14:paraId="47CE46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5. 人机交互：采用友好的人机交互界面，界面设计生动直观，操作过程中屏幕提示信息简洁明确，降低患者操作学习成本。</w:t>
      </w:r>
    </w:p>
    <w:p w14:paraId="1BEB6C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6. 维护便捷性：操作及维护流程简单易懂，换纸、更换硒鼓及处理打印机异常等日常维护工作可快速完成。</w:t>
      </w:r>
    </w:p>
    <w:p w14:paraId="11F959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四、硬件质保要求</w:t>
      </w:r>
    </w:p>
    <w:p w14:paraId="5F2F0B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硬件质保期限不少于5年，质保期内提供免费维修、零部件更换及技术支持服务。</w:t>
      </w:r>
    </w:p>
    <w:p w14:paraId="530E5D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五、现场引导服务需求</w:t>
      </w:r>
    </w:p>
    <w:p w14:paraId="025D6E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1. 人员配置：提供不少于2名专职现场引导员，分别派驻新院区、老院区，实行7×24小时全天候响应机制；引导员需承担终端操作指导、就诊流程引导、就医问题解答等服务工作，同时负责设备故障初步排查、纸张补充、耗材更换等日常维护工作。</w:t>
      </w:r>
    </w:p>
    <w:p w14:paraId="47A6AD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 w:bidi="ar"/>
        </w:rPr>
        <w:t>2. 服务期限：现场引导服务期限不少于2年。</w:t>
      </w:r>
    </w:p>
    <w:p w14:paraId="552A2C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481FD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1CA8A42-C078-4F97-B992-009978289DB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61ECF88-0C8C-4DBF-9EEF-DE070127F0CD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181E892-B155-45CD-AF18-9718E724839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12DA96B-6861-4E2F-85FA-784405CC5EA9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16FA1D5-BE69-4C8D-83A2-CC3DB92782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C1EB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0E96E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0E96E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DEF3C9"/>
    <w:multiLevelType w:val="singleLevel"/>
    <w:tmpl w:val="ABDEF3C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1BEDE0"/>
    <w:rsid w:val="178F63B8"/>
    <w:rsid w:val="1B1BEDE0"/>
    <w:rsid w:val="207D37D7"/>
    <w:rsid w:val="2AEE2AFE"/>
    <w:rsid w:val="3C1217CE"/>
    <w:rsid w:val="406F5E03"/>
    <w:rsid w:val="49093E01"/>
    <w:rsid w:val="62167EFF"/>
    <w:rsid w:val="660179E7"/>
    <w:rsid w:val="792B575E"/>
    <w:rsid w:val="7E486D4A"/>
    <w:rsid w:val="7E50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tabs>
        <w:tab w:val="left" w:pos="432"/>
      </w:tabs>
      <w:adjustRightInd/>
      <w:spacing w:line="360" w:lineRule="auto"/>
      <w:ind w:left="432" w:hanging="432"/>
      <w:jc w:val="left"/>
      <w:outlineLvl w:val="1"/>
    </w:pPr>
    <w:rPr>
      <w:rFonts w:ascii="仿宋_GB2312" w:hAnsi="仿宋" w:eastAsia="仿宋_GB2312"/>
      <w:b/>
      <w:bCs/>
      <w:sz w:val="32"/>
      <w:szCs w:val="32"/>
      <w:lang w:val="zh-CN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next w:val="5"/>
    <w:unhideWhenUsed/>
    <w:qFormat/>
    <w:uiPriority w:val="99"/>
    <w:pPr>
      <w:spacing w:after="120" w:line="480" w:lineRule="auto"/>
    </w:pPr>
    <w:rPr>
      <w:rFonts w:ascii="Times New Roman" w:hAnsi="Times New Roman"/>
      <w:szCs w:val="24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98053f97-a76e-4a24-940d-02ff01f6575f</errorID>
      <errorWord>及使用</errorWord>
      <group>L1_AI</group>
      <groupName>深度校对</groupName>
      <ability>L2_AI_Grammar</ability>
      <abilityName>语法纠错</abilityName>
      <candidateList>
        <item>及</item>
      </candidateList>
      <explain>〈连〉连接并列的名词或名词性词组：图书、仪器、标本～其他。注意用“及”连接的成分多在意义上有主次之分，主要的成分放在“及”的前面。</explain>
      <paraID>489FA25F</paraID>
      <start>156</start>
      <end>157</end>
      <status>modified</status>
      <modifiedWord>及</modifiedWord>
      <trackRevisions>false</trackRevisions>
    </reviewItem>
    <reviewItem>
      <errorID>60572c57-14b5-4ed5-8c7c-4c6e1c0e23ce</errorID>
      <errorWord>。</errorWord>
      <group>L1_AI</group>
      <groupName>深度校对</groupName>
      <ability>L2_AI_Punc</ability>
      <abilityName>标点纠错</abilityName>
      <candidateList>
        <item>，</item>
      </candidateList>
      <explain/>
      <paraID>  40A3C7</paraID>
      <start>45</start>
      <end>46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6c738c-2e08-45ad-a29c-f73ef1cb8c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1640</Words>
  <Characters>1666</Characters>
  <Lines>0</Lines>
  <Paragraphs>0</Paragraphs>
  <TotalTime>29</TotalTime>
  <ScaleCrop>false</ScaleCrop>
  <LinksUpToDate>false</LinksUpToDate>
  <CharactersWithSpaces>1717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2025-11-06T12:43:00Z</dcterms:created>
  <dc:creator>　</dc:creator>
  <cp:lastModifiedBy>简乐</cp:lastModifiedBy>
  <cp:lastPrinted>2025-12-11T00:09:00Z</cp:lastPrinted>
  <dcterms:modified xsi:type="dcterms:W3CDTF">2025-12-16T06:57:15Z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8433148B1CA84B9A91BFF99117086916_13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