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default" w:asciiTheme="majorEastAsia" w:hAnsiTheme="majorEastAsia" w:eastAsiaTheme="majorEastAsia" w:cstheme="majorEastAsia"/>
          <w:b/>
          <w:bCs/>
          <w:sz w:val="24"/>
          <w:szCs w:val="24"/>
          <w:lang w:val="en-US" w:eastAsia="zh-CN"/>
        </w:rPr>
      </w:pPr>
      <w:bookmarkStart w:id="1" w:name="_GoBack"/>
      <w:bookmarkEnd w:id="1"/>
      <w:r>
        <w:rPr>
          <w:rFonts w:hint="eastAsia" w:asciiTheme="majorEastAsia" w:hAnsiTheme="majorEastAsia" w:eastAsiaTheme="majorEastAsia" w:cstheme="majorEastAsia"/>
          <w:b/>
          <w:bCs/>
          <w:sz w:val="24"/>
          <w:szCs w:val="24"/>
          <w:lang w:val="en-US" w:eastAsia="zh-CN"/>
        </w:rPr>
        <w:t>附件1：生物安全柜</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A包：</w:t>
      </w:r>
    </w:p>
    <w:p w14:paraId="419B0277">
      <w:pPr>
        <w:widowControl/>
        <w:spacing w:before="75" w:after="75"/>
        <w:ind w:left="241" w:hanging="240" w:hangingChars="100"/>
        <w:jc w:val="left"/>
        <w:rPr>
          <w:rFonts w:hint="eastAsia" w:ascii="宋体" w:hAnsi="宋体" w:eastAsia="宋体" w:cs="宋体"/>
          <w:b w:val="0"/>
          <w:bCs w:val="0"/>
          <w:color w:val="auto"/>
          <w:kern w:val="0"/>
          <w:sz w:val="24"/>
          <w:highlight w:val="none"/>
          <w:lang w:val="en-US" w:eastAsia="zh-CN"/>
        </w:rPr>
      </w:pPr>
      <w:r>
        <w:rPr>
          <w:rFonts w:hint="eastAsia" w:ascii="宋体" w:hAnsi="宋体" w:eastAsia="宋体" w:cs="宋体"/>
          <w:b w:val="0"/>
          <w:bCs w:val="0"/>
          <w:color w:val="auto"/>
          <w:kern w:val="0"/>
          <w:sz w:val="24"/>
          <w:highlight w:val="none"/>
          <w:lang w:val="en-US" w:eastAsia="zh-CN"/>
        </w:rPr>
        <w:t>整体要求：满足新生儿药物配备要求</w:t>
      </w:r>
    </w:p>
    <w:p w14:paraId="146B77E5">
      <w:pPr>
        <w:widowControl/>
        <w:spacing w:before="75" w:after="75"/>
        <w:ind w:left="241" w:hanging="240" w:hangingChars="100"/>
        <w:jc w:val="left"/>
        <w:rPr>
          <w:rFonts w:hint="eastAsia" w:ascii="宋体" w:hAnsi="宋体" w:eastAsia="宋体" w:cs="宋体"/>
          <w:b w:val="0"/>
          <w:bCs w:val="0"/>
          <w:color w:val="auto"/>
          <w:kern w:val="0"/>
          <w:sz w:val="24"/>
          <w:highlight w:val="none"/>
          <w:lang w:val="en-US" w:eastAsia="zh-CN"/>
        </w:rPr>
      </w:pPr>
    </w:p>
    <w:p w14:paraId="4C77A236">
      <w:pPr>
        <w:keepNext w:val="0"/>
        <w:keepLines w:val="0"/>
        <w:pageBreakBefore w:val="0"/>
        <w:widowControl/>
        <w:numPr>
          <w:ilvl w:val="0"/>
          <w:numId w:val="1"/>
        </w:numPr>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cs="宋体"/>
          <w:bCs/>
          <w:color w:val="auto"/>
          <w:kern w:val="0"/>
          <w:sz w:val="24"/>
          <w:highlight w:val="none"/>
          <w:lang w:val="en-US" w:eastAsia="zh-CN"/>
        </w:rPr>
        <w:t>实质性条款：</w:t>
      </w:r>
      <w:r>
        <w:rPr>
          <w:rFonts w:hint="eastAsia" w:ascii="宋体" w:hAnsi="宋体" w:eastAsia="宋体" w:cs="宋体"/>
          <w:bCs/>
          <w:color w:val="auto"/>
          <w:kern w:val="0"/>
          <w:sz w:val="24"/>
          <w:szCs w:val="24"/>
          <w:highlight w:val="none"/>
        </w:rPr>
        <w:t>A2型，30%外排，70%循环</w:t>
      </w:r>
    </w:p>
    <w:p w14:paraId="4ADAD9BE">
      <w:pPr>
        <w:keepNext w:val="0"/>
        <w:keepLines w:val="0"/>
        <w:pageBreakBefore w:val="0"/>
        <w:widowControl/>
        <w:numPr>
          <w:ilvl w:val="0"/>
          <w:numId w:val="0"/>
        </w:numPr>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p>
    <w:p w14:paraId="3CB5FB94">
      <w:pPr>
        <w:widowControl/>
        <w:spacing w:before="75" w:after="75"/>
        <w:rPr>
          <w:rFonts w:ascii="宋体" w:hAnsi="宋体" w:cs="宋体"/>
          <w:bCs/>
          <w:color w:val="auto"/>
          <w:kern w:val="0"/>
          <w:sz w:val="24"/>
          <w:highlight w:val="none"/>
        </w:rPr>
      </w:pPr>
      <w:r>
        <w:rPr>
          <w:rFonts w:hint="eastAsia" w:ascii="宋体" w:hAnsi="宋体" w:cs="宋体"/>
          <w:bCs/>
          <w:color w:val="auto"/>
          <w:kern w:val="0"/>
          <w:sz w:val="24"/>
          <w:highlight w:val="none"/>
          <w:lang w:val="en-US" w:eastAsia="zh-CN"/>
        </w:rPr>
        <w:t>二</w:t>
      </w:r>
      <w:r>
        <w:rPr>
          <w:rFonts w:hint="eastAsia" w:ascii="宋体" w:hAnsi="宋体" w:cs="宋体"/>
          <w:bCs/>
          <w:color w:val="auto"/>
          <w:kern w:val="0"/>
          <w:sz w:val="24"/>
          <w:highlight w:val="none"/>
        </w:rPr>
        <w:t>、安全柜基本</w:t>
      </w:r>
      <w:r>
        <w:rPr>
          <w:rFonts w:ascii="宋体" w:hAnsi="宋体" w:cs="宋体"/>
          <w:bCs/>
          <w:color w:val="auto"/>
          <w:kern w:val="0"/>
          <w:sz w:val="24"/>
          <w:highlight w:val="none"/>
        </w:rPr>
        <w:t>参数：</w:t>
      </w:r>
    </w:p>
    <w:p w14:paraId="30F267CE">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1</w:t>
      </w:r>
      <w:r>
        <w:rPr>
          <w:rFonts w:hint="eastAsia" w:ascii="宋体" w:hAnsi="宋体" w:eastAsia="宋体" w:cs="宋体"/>
          <w:bCs/>
          <w:color w:val="auto"/>
          <w:kern w:val="0"/>
          <w:sz w:val="24"/>
          <w:szCs w:val="24"/>
          <w:highlight w:val="none"/>
        </w:rPr>
        <w:t>）外部尺寸≥（L×D×H）1</w:t>
      </w:r>
      <w:r>
        <w:rPr>
          <w:rFonts w:hint="eastAsia" w:ascii="宋体" w:hAnsi="宋体" w:eastAsia="宋体" w:cs="宋体"/>
          <w:bCs/>
          <w:color w:val="auto"/>
          <w:kern w:val="0"/>
          <w:sz w:val="24"/>
          <w:szCs w:val="24"/>
          <w:highlight w:val="none"/>
          <w:lang w:val="en-US" w:eastAsia="zh-CN"/>
        </w:rPr>
        <w:t>8</w:t>
      </w:r>
      <w:r>
        <w:rPr>
          <w:rFonts w:hint="eastAsia" w:ascii="宋体" w:hAnsi="宋体" w:eastAsia="宋体" w:cs="宋体"/>
          <w:bCs/>
          <w:color w:val="auto"/>
          <w:kern w:val="0"/>
          <w:sz w:val="24"/>
          <w:szCs w:val="24"/>
          <w:highlight w:val="none"/>
        </w:rPr>
        <w:t>00mm×7</w:t>
      </w:r>
      <w:r>
        <w:rPr>
          <w:rFonts w:hint="eastAsia" w:ascii="宋体" w:hAnsi="宋体" w:eastAsia="宋体" w:cs="宋体"/>
          <w:bCs/>
          <w:color w:val="auto"/>
          <w:kern w:val="0"/>
          <w:sz w:val="24"/>
          <w:szCs w:val="24"/>
          <w:highlight w:val="none"/>
          <w:lang w:val="en-US" w:eastAsia="zh-CN"/>
        </w:rPr>
        <w:t>50</w:t>
      </w:r>
      <w:r>
        <w:rPr>
          <w:rFonts w:hint="eastAsia" w:ascii="宋体" w:hAnsi="宋体" w:eastAsia="宋体" w:cs="宋体"/>
          <w:bCs/>
          <w:color w:val="auto"/>
          <w:kern w:val="0"/>
          <w:sz w:val="24"/>
          <w:szCs w:val="24"/>
          <w:highlight w:val="none"/>
        </w:rPr>
        <w:t>mm×22</w:t>
      </w:r>
      <w:r>
        <w:rPr>
          <w:rFonts w:hint="eastAsia" w:ascii="宋体" w:hAnsi="宋体" w:eastAsia="宋体" w:cs="宋体"/>
          <w:bCs/>
          <w:color w:val="auto"/>
          <w:kern w:val="0"/>
          <w:sz w:val="24"/>
          <w:szCs w:val="24"/>
          <w:highlight w:val="none"/>
          <w:lang w:val="en-US" w:eastAsia="zh-CN"/>
        </w:rPr>
        <w:t>0</w:t>
      </w:r>
      <w:r>
        <w:rPr>
          <w:rFonts w:hint="eastAsia" w:ascii="宋体" w:hAnsi="宋体" w:eastAsia="宋体" w:cs="宋体"/>
          <w:bCs/>
          <w:color w:val="auto"/>
          <w:kern w:val="0"/>
          <w:sz w:val="24"/>
          <w:szCs w:val="24"/>
          <w:highlight w:val="none"/>
        </w:rPr>
        <w:t>0mm；</w:t>
      </w:r>
    </w:p>
    <w:p w14:paraId="199A8450">
      <w:pPr>
        <w:keepNext w:val="0"/>
        <w:keepLines w:val="0"/>
        <w:pageBreakBefore w:val="0"/>
        <w:widowControl/>
        <w:kinsoku/>
        <w:wordWrap/>
        <w:overflowPunct/>
        <w:topLinePunct w:val="0"/>
        <w:autoSpaceDE/>
        <w:autoSpaceDN/>
        <w:bidi w:val="0"/>
        <w:adjustRightInd/>
        <w:snapToGrid/>
        <w:spacing w:before="75" w:after="75" w:line="360" w:lineRule="auto"/>
        <w:ind w:firstLine="360" w:firstLineChars="15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rPr>
        <w:t>）内部尺寸≥（L×D×H）1</w:t>
      </w:r>
      <w:r>
        <w:rPr>
          <w:rFonts w:hint="eastAsia" w:ascii="宋体" w:hAnsi="宋体" w:eastAsia="宋体" w:cs="宋体"/>
          <w:bCs/>
          <w:color w:val="auto"/>
          <w:kern w:val="0"/>
          <w:sz w:val="24"/>
          <w:szCs w:val="24"/>
          <w:highlight w:val="none"/>
          <w:lang w:val="en-US" w:eastAsia="zh-CN"/>
        </w:rPr>
        <w:t>600</w:t>
      </w:r>
      <w:r>
        <w:rPr>
          <w:rFonts w:hint="eastAsia" w:ascii="宋体" w:hAnsi="宋体" w:eastAsia="宋体" w:cs="宋体"/>
          <w:bCs/>
          <w:color w:val="auto"/>
          <w:kern w:val="0"/>
          <w:sz w:val="24"/>
          <w:szCs w:val="24"/>
          <w:highlight w:val="none"/>
        </w:rPr>
        <w:t>mm ×600mm×660mm 。</w:t>
      </w:r>
    </w:p>
    <w:p w14:paraId="1CA3F8F4">
      <w:pPr>
        <w:keepNext w:val="0"/>
        <w:keepLines w:val="0"/>
        <w:pageBreakBefore w:val="0"/>
        <w:widowControl/>
        <w:kinsoku/>
        <w:wordWrap/>
        <w:overflowPunct/>
        <w:topLinePunct w:val="0"/>
        <w:autoSpaceDE/>
        <w:autoSpaceDN/>
        <w:bidi w:val="0"/>
        <w:adjustRightInd/>
        <w:snapToGrid/>
        <w:spacing w:before="75" w:after="75" w:line="360" w:lineRule="auto"/>
        <w:ind w:firstLine="360" w:firstLineChars="15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）台面距离地面高度：≥7</w:t>
      </w:r>
      <w:r>
        <w:rPr>
          <w:rFonts w:hint="eastAsia" w:ascii="宋体" w:hAnsi="宋体" w:eastAsia="宋体" w:cs="宋体"/>
          <w:bCs/>
          <w:color w:val="auto"/>
          <w:kern w:val="0"/>
          <w:sz w:val="24"/>
          <w:szCs w:val="24"/>
          <w:highlight w:val="none"/>
          <w:lang w:val="en-US" w:eastAsia="zh-CN"/>
        </w:rPr>
        <w:t>7</w:t>
      </w:r>
      <w:r>
        <w:rPr>
          <w:rFonts w:hint="eastAsia" w:ascii="宋体" w:hAnsi="宋体" w:eastAsia="宋体" w:cs="宋体"/>
          <w:bCs/>
          <w:color w:val="auto"/>
          <w:kern w:val="0"/>
          <w:sz w:val="24"/>
          <w:szCs w:val="24"/>
          <w:highlight w:val="none"/>
        </w:rPr>
        <w:t>0mm</w:t>
      </w:r>
    </w:p>
    <w:p w14:paraId="729C7804">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4</w:t>
      </w:r>
      <w:r>
        <w:rPr>
          <w:rFonts w:hint="eastAsia" w:ascii="宋体" w:hAnsi="宋体" w:eastAsia="宋体" w:cs="宋体"/>
          <w:bCs/>
          <w:color w:val="auto"/>
          <w:kern w:val="0"/>
          <w:sz w:val="24"/>
          <w:szCs w:val="24"/>
          <w:highlight w:val="none"/>
        </w:rPr>
        <w:t>）风速</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平均下降风速：0.33±0.025m/s； 平均吸入口风速0.53±0.025m/s</w:t>
      </w:r>
    </w:p>
    <w:p w14:paraId="763C2C84">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lang w:val="en-US" w:eastAsia="zh-CN"/>
        </w:rPr>
        <w:t>5</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lang w:val="en-US" w:eastAsia="zh-CN"/>
        </w:rPr>
        <w:t>净化级别：</w:t>
      </w:r>
      <w:r>
        <w:rPr>
          <w:rFonts w:hint="eastAsia" w:ascii="宋体" w:hAnsi="宋体" w:eastAsia="宋体" w:cs="宋体"/>
          <w:bCs/>
          <w:color w:val="auto"/>
          <w:kern w:val="0"/>
          <w:sz w:val="24"/>
          <w:szCs w:val="24"/>
          <w:highlight w:val="none"/>
        </w:rPr>
        <w:t>≥</w:t>
      </w:r>
      <w:r>
        <w:rPr>
          <w:rFonts w:hint="eastAsia" w:ascii="宋体" w:hAnsi="宋体" w:eastAsia="宋体" w:cs="宋体"/>
          <w:i w:val="0"/>
          <w:iCs w:val="0"/>
          <w:caps w:val="0"/>
          <w:color w:val="191B1F"/>
          <w:spacing w:val="0"/>
          <w:sz w:val="24"/>
          <w:szCs w:val="24"/>
          <w:shd w:val="clear" w:color="auto" w:fill="FFFFFF"/>
          <w:lang w:val="en-US" w:eastAsia="zh-CN"/>
        </w:rPr>
        <w:t>100级</w:t>
      </w:r>
    </w:p>
    <w:p w14:paraId="2DDAC8E4">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6</w:t>
      </w:r>
      <w:r>
        <w:rPr>
          <w:rFonts w:hint="eastAsia" w:ascii="宋体" w:hAnsi="宋体" w:eastAsia="宋体" w:cs="宋体"/>
          <w:bCs/>
          <w:color w:val="auto"/>
          <w:kern w:val="0"/>
          <w:sz w:val="24"/>
          <w:szCs w:val="24"/>
          <w:highlight w:val="none"/>
        </w:rPr>
        <w:t>）系统排风总量：</w:t>
      </w:r>
      <w:r>
        <w:rPr>
          <w:rFonts w:hint="default" w:ascii="Arial" w:hAnsi="Arial" w:eastAsia="宋体" w:cs="Arial"/>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62</w:t>
      </w:r>
      <w:r>
        <w:rPr>
          <w:rFonts w:hint="eastAsia" w:ascii="宋体" w:hAnsi="宋体" w:eastAsia="宋体" w:cs="宋体"/>
          <w:bCs/>
          <w:color w:val="auto"/>
          <w:kern w:val="0"/>
          <w:sz w:val="24"/>
          <w:szCs w:val="24"/>
          <w:highlight w:val="none"/>
        </w:rPr>
        <w:t xml:space="preserve">0 </w:t>
      </w:r>
      <w:r>
        <w:rPr>
          <w:rFonts w:hint="eastAsia" w:ascii="宋体" w:hAnsi="宋体" w:eastAsia="宋体" w:cs="宋体"/>
          <w:bCs/>
          <w:color w:val="auto"/>
          <w:kern w:val="0"/>
          <w:sz w:val="24"/>
          <w:szCs w:val="24"/>
          <w:highlight w:val="none"/>
          <w:lang w:val="en-US" w:eastAsia="zh-CN"/>
        </w:rPr>
        <w:t>m³</w:t>
      </w:r>
      <w:r>
        <w:rPr>
          <w:rFonts w:hint="eastAsia" w:ascii="宋体" w:hAnsi="宋体" w:eastAsia="宋体" w:cs="宋体"/>
          <w:bCs/>
          <w:color w:val="auto"/>
          <w:kern w:val="0"/>
          <w:sz w:val="24"/>
          <w:szCs w:val="24"/>
          <w:highlight w:val="none"/>
        </w:rPr>
        <w:t>/h</w:t>
      </w:r>
    </w:p>
    <w:p w14:paraId="143468DE">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7</w:t>
      </w:r>
      <w:r>
        <w:rPr>
          <w:rFonts w:hint="eastAsia" w:ascii="宋体" w:hAnsi="宋体" w:eastAsia="宋体" w:cs="宋体"/>
          <w:bCs/>
          <w:color w:val="auto"/>
          <w:kern w:val="0"/>
          <w:sz w:val="24"/>
          <w:szCs w:val="24"/>
          <w:highlight w:val="none"/>
        </w:rPr>
        <w:t>）噪音等级：≤6</w:t>
      </w:r>
      <w:r>
        <w:rPr>
          <w:rFonts w:hint="eastAsia" w:ascii="宋体" w:hAnsi="宋体" w:eastAsia="宋体" w:cs="宋体"/>
          <w:bCs/>
          <w:color w:val="auto"/>
          <w:kern w:val="0"/>
          <w:sz w:val="24"/>
          <w:szCs w:val="24"/>
          <w:highlight w:val="none"/>
          <w:lang w:val="en-US" w:eastAsia="zh-CN"/>
        </w:rPr>
        <w:t>7</w:t>
      </w:r>
      <w:r>
        <w:rPr>
          <w:rFonts w:hint="eastAsia" w:ascii="宋体" w:hAnsi="宋体" w:eastAsia="宋体" w:cs="宋体"/>
          <w:bCs/>
          <w:color w:val="auto"/>
          <w:kern w:val="0"/>
          <w:sz w:val="24"/>
          <w:szCs w:val="24"/>
          <w:highlight w:val="none"/>
        </w:rPr>
        <w:t>dB（A）</w:t>
      </w:r>
    </w:p>
    <w:p w14:paraId="282C11D3">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8</w:t>
      </w:r>
      <w:r>
        <w:rPr>
          <w:rFonts w:hint="eastAsia" w:ascii="宋体" w:hAnsi="宋体" w:eastAsia="宋体" w:cs="宋体"/>
          <w:bCs/>
          <w:color w:val="auto"/>
          <w:kern w:val="0"/>
          <w:sz w:val="24"/>
          <w:szCs w:val="24"/>
          <w:highlight w:val="none"/>
        </w:rPr>
        <w:t>）照明：≥</w:t>
      </w:r>
      <w:r>
        <w:rPr>
          <w:rFonts w:hint="eastAsia" w:ascii="宋体" w:hAnsi="宋体" w:eastAsia="宋体" w:cs="宋体"/>
          <w:bCs/>
          <w:color w:val="auto"/>
          <w:kern w:val="0"/>
          <w:sz w:val="24"/>
          <w:szCs w:val="24"/>
          <w:highlight w:val="none"/>
          <w:lang w:val="en-US" w:eastAsia="zh-CN"/>
        </w:rPr>
        <w:t>10</w:t>
      </w:r>
      <w:r>
        <w:rPr>
          <w:rFonts w:hint="eastAsia" w:ascii="宋体" w:hAnsi="宋体" w:eastAsia="宋体" w:cs="宋体"/>
          <w:bCs/>
          <w:color w:val="auto"/>
          <w:kern w:val="0"/>
          <w:sz w:val="24"/>
          <w:szCs w:val="24"/>
          <w:highlight w:val="none"/>
        </w:rPr>
        <w:t>00lx</w:t>
      </w:r>
    </w:p>
    <w:p w14:paraId="2D2C5249">
      <w:pPr>
        <w:keepNext w:val="0"/>
        <w:keepLines w:val="0"/>
        <w:pageBreakBefore w:val="0"/>
        <w:widowControl/>
        <w:kinsoku/>
        <w:wordWrap/>
        <w:overflowPunct/>
        <w:topLinePunct w:val="0"/>
        <w:autoSpaceDE/>
        <w:autoSpaceDN/>
        <w:bidi w:val="0"/>
        <w:adjustRightInd/>
        <w:snapToGrid/>
        <w:spacing w:before="75" w:after="75" w:line="360" w:lineRule="auto"/>
        <w:ind w:left="1203" w:leftChars="173" w:hanging="840" w:hangingChars="35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9</w:t>
      </w:r>
      <w:r>
        <w:rPr>
          <w:rFonts w:hint="eastAsia" w:ascii="宋体" w:hAnsi="宋体" w:eastAsia="宋体" w:cs="宋体"/>
          <w:bCs/>
          <w:color w:val="auto"/>
          <w:kern w:val="0"/>
          <w:sz w:val="24"/>
          <w:szCs w:val="24"/>
          <w:highlight w:val="none"/>
        </w:rPr>
        <w:t>）过滤效率:送风和排风过滤器均采用硼硅酸盐玻璃纤维材质的高效过滤器，对0.12μm颗粒过滤效率≥99.9995%</w:t>
      </w:r>
    </w:p>
    <w:p w14:paraId="53E1B159">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lang w:val="en-US" w:eastAsia="zh-CN"/>
        </w:rPr>
        <w:t>10</w:t>
      </w:r>
      <w:r>
        <w:rPr>
          <w:rFonts w:hint="eastAsia" w:ascii="宋体" w:hAnsi="宋体" w:eastAsia="宋体" w:cs="宋体"/>
          <w:bCs/>
          <w:color w:val="auto"/>
          <w:kern w:val="0"/>
          <w:sz w:val="24"/>
          <w:szCs w:val="24"/>
          <w:highlight w:val="none"/>
          <w:lang w:eastAsia="zh-CN"/>
        </w:rPr>
        <w:t>）振动幅值：频率 10Hz 和 10kHz 之间的振动净振幅不超过 5μm（rms）</w:t>
      </w:r>
    </w:p>
    <w:p w14:paraId="628A7C50">
      <w:pPr>
        <w:widowControl/>
        <w:spacing w:before="75" w:after="75" w:line="276" w:lineRule="auto"/>
        <w:ind w:firstLine="480" w:firstLineChars="200"/>
        <w:rPr>
          <w:rFonts w:hint="eastAsia" w:ascii="宋体" w:hAnsi="宋体" w:eastAsia="宋体" w:cs="宋体"/>
          <w:bCs/>
          <w:color w:val="auto"/>
          <w:kern w:val="0"/>
          <w:sz w:val="24"/>
          <w:szCs w:val="24"/>
          <w:highlight w:val="none"/>
        </w:rPr>
      </w:pPr>
      <w:r>
        <w:rPr>
          <w:rFonts w:hint="eastAsia" w:ascii="宋体" w:hAnsi="宋体" w:cs="宋体"/>
          <w:bCs/>
          <w:color w:val="auto"/>
          <w:kern w:val="0"/>
          <w:sz w:val="24"/>
          <w:highlight w:val="none"/>
          <w:lang w:val="en-US" w:eastAsia="zh-CN"/>
        </w:rPr>
        <w:t>（11）使用年限：</w:t>
      </w:r>
      <w:r>
        <w:rPr>
          <w:rFonts w:ascii="宋体" w:hAnsi="宋体" w:cs="宋体"/>
          <w:bCs/>
          <w:color w:val="auto"/>
          <w:kern w:val="0"/>
          <w:sz w:val="24"/>
          <w:highlight w:val="none"/>
        </w:rPr>
        <w:t>≥</w:t>
      </w:r>
      <w:r>
        <w:rPr>
          <w:rFonts w:hint="eastAsia" w:ascii="宋体" w:hAnsi="宋体" w:cs="宋体"/>
          <w:bCs/>
          <w:color w:val="auto"/>
          <w:kern w:val="0"/>
          <w:sz w:val="24"/>
          <w:highlight w:val="none"/>
          <w:lang w:val="en-US" w:eastAsia="zh-CN"/>
        </w:rPr>
        <w:t>8年</w:t>
      </w:r>
    </w:p>
    <w:p w14:paraId="254B4B36">
      <w:pPr>
        <w:keepNext w:val="0"/>
        <w:keepLines w:val="0"/>
        <w:pageBreakBefore w:val="0"/>
        <w:widowControl/>
        <w:kinsoku/>
        <w:wordWrap/>
        <w:overflowPunct/>
        <w:topLinePunct w:val="0"/>
        <w:autoSpaceDE/>
        <w:autoSpaceDN/>
        <w:bidi w:val="0"/>
        <w:adjustRightInd/>
        <w:snapToGrid/>
        <w:spacing w:before="75" w:after="75" w:line="360" w:lineRule="auto"/>
        <w:ind w:firstLine="360" w:firstLineChars="15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（1</w:t>
      </w:r>
      <w:r>
        <w:rPr>
          <w:rFonts w:hint="eastAsia" w:ascii="宋体" w:hAnsi="宋体" w:eastAsia="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rPr>
        <w:t>） 人员安全性：用碘化钾（KI）法测试，前窗操作口的保护因子不小于1×10</w:t>
      </w:r>
      <w:r>
        <w:rPr>
          <w:rFonts w:hint="eastAsia" w:ascii="宋体" w:hAnsi="宋体" w:eastAsia="宋体" w:cs="宋体"/>
          <w:color w:val="auto"/>
          <w:kern w:val="0"/>
          <w:sz w:val="24"/>
          <w:szCs w:val="24"/>
          <w:highlight w:val="none"/>
          <w:vertAlign w:val="superscript"/>
        </w:rPr>
        <w:t>5</w:t>
      </w:r>
      <w:r>
        <w:rPr>
          <w:rFonts w:hint="eastAsia" w:ascii="宋体" w:hAnsi="宋体" w:eastAsia="宋体" w:cs="宋体"/>
          <w:bCs/>
          <w:color w:val="auto"/>
          <w:kern w:val="0"/>
          <w:sz w:val="24"/>
          <w:szCs w:val="24"/>
          <w:highlight w:val="none"/>
        </w:rPr>
        <w:t xml:space="preserve"> </w:t>
      </w:r>
    </w:p>
    <w:p w14:paraId="1C9048EB">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13</w:t>
      </w:r>
      <w:r>
        <w:rPr>
          <w:rFonts w:hint="eastAsia" w:ascii="宋体" w:hAnsi="宋体" w:eastAsia="宋体" w:cs="宋体"/>
          <w:bCs/>
          <w:color w:val="auto"/>
          <w:kern w:val="0"/>
          <w:sz w:val="24"/>
          <w:szCs w:val="24"/>
          <w:highlight w:val="none"/>
        </w:rPr>
        <w:t xml:space="preserve">） 产品安全性：菌落数≤5CFU/次 </w:t>
      </w:r>
    </w:p>
    <w:p w14:paraId="0589739F">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14</w:t>
      </w:r>
      <w:r>
        <w:rPr>
          <w:rFonts w:hint="eastAsia" w:ascii="宋体" w:hAnsi="宋体" w:eastAsia="宋体" w:cs="宋体"/>
          <w:bCs/>
          <w:color w:val="auto"/>
          <w:kern w:val="0"/>
          <w:sz w:val="24"/>
          <w:szCs w:val="24"/>
          <w:highlight w:val="none"/>
        </w:rPr>
        <w:t>） 交叉污染安全性：菌落数≤2CFU/次</w:t>
      </w:r>
    </w:p>
    <w:p w14:paraId="72116AA3">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15</w:t>
      </w:r>
      <w:r>
        <w:rPr>
          <w:rFonts w:hint="eastAsia" w:ascii="宋体" w:hAnsi="宋体" w:eastAsia="宋体" w:cs="宋体"/>
          <w:bCs/>
          <w:color w:val="auto"/>
          <w:kern w:val="0"/>
          <w:sz w:val="24"/>
          <w:szCs w:val="24"/>
          <w:highlight w:val="none"/>
        </w:rPr>
        <w:t xml:space="preserve">） </w:t>
      </w:r>
      <w:r>
        <w:rPr>
          <w:rFonts w:hint="eastAsia" w:ascii="宋体" w:hAnsi="宋体" w:eastAsia="宋体" w:cs="宋体"/>
          <w:bCs/>
          <w:color w:val="auto"/>
          <w:kern w:val="0"/>
          <w:sz w:val="24"/>
          <w:szCs w:val="24"/>
          <w:highlight w:val="none"/>
          <w:lang w:val="en-US" w:eastAsia="zh-CN"/>
        </w:rPr>
        <w:t>质保年限</w:t>
      </w:r>
      <w:r>
        <w:rPr>
          <w:rFonts w:hint="eastAsia" w:ascii="宋体" w:hAnsi="宋体" w:eastAsia="宋体" w:cs="宋体"/>
          <w:bCs/>
          <w:color w:val="auto"/>
          <w:kern w:val="0"/>
          <w:sz w:val="24"/>
          <w:szCs w:val="24"/>
          <w:highlight w:val="none"/>
        </w:rPr>
        <w:t>：</w:t>
      </w:r>
      <w:r>
        <w:rPr>
          <w:rFonts w:ascii="宋体" w:hAnsi="宋体" w:cs="宋体"/>
          <w:bCs/>
          <w:color w:val="auto"/>
          <w:kern w:val="0"/>
          <w:sz w:val="24"/>
          <w:highlight w:val="none"/>
        </w:rPr>
        <w:t>≥</w:t>
      </w:r>
      <w:r>
        <w:rPr>
          <w:rFonts w:hint="eastAsia" w:ascii="宋体" w:hAnsi="宋体" w:cs="宋体"/>
          <w:bCs/>
          <w:color w:val="auto"/>
          <w:kern w:val="0"/>
          <w:sz w:val="24"/>
          <w:highlight w:val="none"/>
          <w:lang w:val="en-US" w:eastAsia="zh-CN"/>
        </w:rPr>
        <w:t>2年</w:t>
      </w:r>
    </w:p>
    <w:p w14:paraId="32D91A20">
      <w:pPr>
        <w:keepNext w:val="0"/>
        <w:keepLines w:val="0"/>
        <w:pageBreakBefore w:val="0"/>
        <w:widowControl/>
        <w:kinsoku/>
        <w:wordWrap/>
        <w:overflowPunct/>
        <w:topLinePunct w:val="0"/>
        <w:autoSpaceDE/>
        <w:autoSpaceDN/>
        <w:bidi w:val="0"/>
        <w:adjustRightInd/>
        <w:snapToGrid/>
        <w:spacing w:before="75" w:after="75" w:line="360" w:lineRule="auto"/>
        <w:ind w:firstLine="480" w:firstLineChars="200"/>
        <w:textAlignment w:val="auto"/>
        <w:rPr>
          <w:rFonts w:hint="eastAsia" w:ascii="宋体" w:hAnsi="宋体" w:eastAsia="宋体" w:cs="宋体"/>
          <w:bCs/>
          <w:color w:val="auto"/>
          <w:kern w:val="0"/>
          <w:sz w:val="24"/>
          <w:szCs w:val="24"/>
          <w:highlight w:val="none"/>
        </w:rPr>
      </w:pPr>
    </w:p>
    <w:p w14:paraId="5F889288">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三</w:t>
      </w: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功能参数</w:t>
      </w:r>
      <w:r>
        <w:rPr>
          <w:rFonts w:hint="eastAsia" w:ascii="宋体" w:hAnsi="宋体" w:eastAsia="宋体" w:cs="宋体"/>
          <w:bCs/>
          <w:color w:val="auto"/>
          <w:kern w:val="0"/>
          <w:sz w:val="24"/>
          <w:szCs w:val="24"/>
          <w:highlight w:val="none"/>
        </w:rPr>
        <w:t>：</w:t>
      </w:r>
    </w:p>
    <w:p w14:paraId="2FD7D967">
      <w:pPr>
        <w:keepNext w:val="0"/>
        <w:keepLines w:val="0"/>
        <w:pageBreakBefore w:val="0"/>
        <w:widowControl/>
        <w:kinsoku/>
        <w:wordWrap/>
        <w:overflowPunct/>
        <w:topLinePunct w:val="0"/>
        <w:autoSpaceDE/>
        <w:autoSpaceDN/>
        <w:bidi w:val="0"/>
        <w:adjustRightInd/>
        <w:snapToGrid/>
        <w:spacing w:before="75" w:after="75" w:line="360" w:lineRule="auto"/>
        <w:ind w:firstLine="240" w:firstLineChars="100"/>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rPr>
        <w:t>▲1、</w:t>
      </w:r>
      <w:r>
        <w:rPr>
          <w:rFonts w:hint="eastAsia" w:ascii="宋体" w:hAnsi="宋体" w:eastAsia="宋体" w:cs="宋体"/>
          <w:bCs/>
          <w:color w:val="auto"/>
          <w:kern w:val="0"/>
          <w:sz w:val="24"/>
          <w:szCs w:val="24"/>
          <w:highlight w:val="none"/>
          <w:lang w:val="en-US" w:eastAsia="zh-CN"/>
        </w:rPr>
        <w:t>生物安全柜符合</w:t>
      </w:r>
      <w:r>
        <w:rPr>
          <w:rFonts w:hint="eastAsia" w:ascii="宋体" w:hAnsi="宋体" w:eastAsia="宋体" w:cs="宋体"/>
          <w:bCs/>
          <w:color w:val="auto"/>
          <w:kern w:val="0"/>
          <w:sz w:val="24"/>
          <w:szCs w:val="24"/>
          <w:highlight w:val="none"/>
        </w:rPr>
        <w:t>国标GB 41918-2022《生物安全柜》</w:t>
      </w:r>
      <w:r>
        <w:rPr>
          <w:rFonts w:hint="eastAsia" w:ascii="宋体" w:hAnsi="宋体" w:eastAsia="宋体" w:cs="宋体"/>
          <w:bCs/>
          <w:color w:val="auto"/>
          <w:kern w:val="0"/>
          <w:sz w:val="24"/>
          <w:szCs w:val="24"/>
          <w:highlight w:val="none"/>
          <w:lang w:eastAsia="zh-CN"/>
        </w:rPr>
        <w:t>的</w:t>
      </w:r>
      <w:r>
        <w:rPr>
          <w:rFonts w:hint="eastAsia" w:ascii="宋体" w:hAnsi="宋体" w:eastAsia="宋体" w:cs="宋体"/>
          <w:bCs/>
          <w:color w:val="auto"/>
          <w:kern w:val="0"/>
          <w:sz w:val="24"/>
          <w:szCs w:val="24"/>
          <w:highlight w:val="none"/>
          <w:lang w:val="en-US" w:eastAsia="zh-CN"/>
        </w:rPr>
        <w:t>要求</w:t>
      </w:r>
      <w:r>
        <w:rPr>
          <w:rFonts w:hint="eastAsia" w:ascii="宋体" w:hAnsi="宋体" w:eastAsia="宋体" w:cs="宋体"/>
          <w:bCs/>
          <w:color w:val="auto"/>
          <w:kern w:val="0"/>
          <w:sz w:val="24"/>
          <w:szCs w:val="24"/>
          <w:highlight w:val="none"/>
        </w:rPr>
        <w:t>。</w:t>
      </w:r>
      <w:r>
        <w:rPr>
          <w:rFonts w:hint="eastAsia" w:ascii="宋体" w:hAnsi="宋体" w:eastAsia="宋体" w:cs="宋体"/>
          <w:b/>
          <w:bCs w:val="0"/>
          <w:color w:val="auto"/>
          <w:kern w:val="0"/>
          <w:sz w:val="24"/>
          <w:szCs w:val="24"/>
          <w:highlight w:val="none"/>
          <w:lang w:val="en-US" w:eastAsia="zh-CN"/>
        </w:rPr>
        <w:t>(提供检测报告）</w:t>
      </w:r>
    </w:p>
    <w:p w14:paraId="0637F2E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sz w:val="24"/>
          <w:szCs w:val="24"/>
          <w:lang w:eastAsia="zh-CN"/>
        </w:rPr>
      </w:pPr>
      <w:r>
        <w:rPr>
          <w:rFonts w:hint="eastAsia" w:ascii="宋体" w:hAnsi="宋体" w:eastAsia="宋体" w:cs="宋体"/>
          <w:bCs/>
          <w:kern w:val="0"/>
          <w:sz w:val="24"/>
          <w:szCs w:val="24"/>
          <w:highlight w:val="none"/>
          <w:lang w:val="en-US" w:eastAsia="zh-CN"/>
        </w:rPr>
        <w:t>2、</w:t>
      </w:r>
      <w:r>
        <w:rPr>
          <w:rFonts w:hint="eastAsia" w:ascii="宋体" w:hAnsi="宋体" w:eastAsia="宋体" w:cs="宋体"/>
          <w:sz w:val="24"/>
          <w:szCs w:val="24"/>
        </w:rPr>
        <w:t>所有箱体和装饰材料能耐正常的磨损，能经受气体、液体、清洁剂、消毒剂及去污操作等的腐蚀。</w:t>
      </w:r>
      <w:r>
        <w:rPr>
          <w:rFonts w:hint="eastAsia" w:ascii="宋体" w:hAnsi="宋体" w:eastAsia="宋体" w:cs="宋体"/>
          <w:b/>
          <w:bCs w:val="0"/>
          <w:kern w:val="0"/>
          <w:sz w:val="24"/>
          <w:szCs w:val="24"/>
          <w:highlight w:val="none"/>
          <w:lang w:eastAsia="zh-CN"/>
        </w:rPr>
        <w:t>（</w:t>
      </w:r>
      <w:r>
        <w:rPr>
          <w:rFonts w:hint="eastAsia" w:ascii="宋体" w:hAnsi="宋体" w:eastAsia="宋体" w:cs="宋体"/>
          <w:b/>
          <w:bCs w:val="0"/>
          <w:kern w:val="0"/>
          <w:sz w:val="24"/>
          <w:szCs w:val="24"/>
          <w:highlight w:val="none"/>
          <w:lang w:val="en-US" w:eastAsia="zh-CN"/>
        </w:rPr>
        <w:t>提供检测报告</w:t>
      </w:r>
      <w:r>
        <w:rPr>
          <w:rFonts w:hint="eastAsia" w:ascii="宋体" w:hAnsi="宋体" w:eastAsia="宋体" w:cs="宋体"/>
          <w:b/>
          <w:bCs w:val="0"/>
          <w:kern w:val="0"/>
          <w:sz w:val="24"/>
          <w:szCs w:val="24"/>
          <w:highlight w:val="none"/>
          <w:lang w:eastAsia="zh-CN"/>
        </w:rPr>
        <w:t>）</w:t>
      </w:r>
    </w:p>
    <w:p w14:paraId="6A5A010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3、安全柜</w:t>
      </w:r>
      <w:r>
        <w:rPr>
          <w:rFonts w:hint="eastAsia" w:ascii="宋体" w:hAnsi="宋体" w:eastAsia="宋体" w:cs="宋体"/>
          <w:sz w:val="24"/>
          <w:szCs w:val="24"/>
        </w:rPr>
        <w:t>的玻璃光学透视清晰、清洁和消毒时不对其产生负面影响，其厚度</w:t>
      </w:r>
      <w:r>
        <w:rPr>
          <w:rFonts w:hint="default" w:ascii="Arial" w:hAnsi="Arial" w:eastAsia="宋体" w:cs="Arial"/>
          <w:sz w:val="24"/>
          <w:szCs w:val="24"/>
        </w:rPr>
        <w:t>≥</w:t>
      </w:r>
      <w:r>
        <w:rPr>
          <w:rFonts w:hint="eastAsia" w:ascii="Arial" w:hAnsi="Arial" w:eastAsia="宋体" w:cs="Arial"/>
          <w:sz w:val="24"/>
          <w:szCs w:val="24"/>
          <w:lang w:val="en-US" w:eastAsia="zh-CN"/>
        </w:rPr>
        <w:t>6</w:t>
      </w:r>
      <w:r>
        <w:rPr>
          <w:rFonts w:hint="eastAsia" w:ascii="宋体" w:hAnsi="宋体" w:eastAsia="宋体" w:cs="宋体"/>
          <w:sz w:val="24"/>
          <w:szCs w:val="24"/>
        </w:rPr>
        <w:t>mm</w:t>
      </w:r>
      <w:r>
        <w:rPr>
          <w:rFonts w:hint="eastAsia" w:ascii="宋体" w:hAnsi="宋体" w:eastAsia="宋体" w:cs="宋体"/>
          <w:sz w:val="24"/>
          <w:szCs w:val="24"/>
          <w:lang w:eastAsia="zh-CN"/>
        </w:rPr>
        <w:t>。</w:t>
      </w:r>
      <w:r>
        <w:rPr>
          <w:rFonts w:hint="eastAsia" w:ascii="宋体" w:hAnsi="宋体" w:eastAsia="宋体" w:cs="宋体"/>
          <w:b/>
          <w:bCs w:val="0"/>
          <w:kern w:val="0"/>
          <w:sz w:val="24"/>
          <w:szCs w:val="24"/>
          <w:highlight w:val="none"/>
          <w:lang w:eastAsia="zh-CN"/>
        </w:rPr>
        <w:t>（</w:t>
      </w:r>
      <w:r>
        <w:rPr>
          <w:rFonts w:hint="eastAsia" w:ascii="宋体" w:hAnsi="宋体" w:eastAsia="宋体" w:cs="宋体"/>
          <w:b/>
          <w:bCs w:val="0"/>
          <w:kern w:val="0"/>
          <w:sz w:val="24"/>
          <w:szCs w:val="24"/>
          <w:highlight w:val="none"/>
          <w:lang w:val="en-US" w:eastAsia="zh-CN"/>
        </w:rPr>
        <w:t>提供检测报告</w:t>
      </w:r>
      <w:r>
        <w:rPr>
          <w:rFonts w:hint="eastAsia" w:ascii="宋体" w:hAnsi="宋体" w:eastAsia="宋体" w:cs="宋体"/>
          <w:b/>
          <w:bCs w:val="0"/>
          <w:kern w:val="0"/>
          <w:sz w:val="24"/>
          <w:szCs w:val="24"/>
          <w:highlight w:val="none"/>
          <w:lang w:eastAsia="zh-CN"/>
        </w:rPr>
        <w:t>）</w:t>
      </w:r>
    </w:p>
    <w:p w14:paraId="45C647D7">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4</w:t>
      </w:r>
      <w:r>
        <w:rPr>
          <w:rFonts w:hint="eastAsia" w:ascii="宋体" w:hAnsi="宋体" w:eastAsia="宋体" w:cs="宋体"/>
          <w:bCs/>
          <w:color w:val="auto"/>
          <w:kern w:val="0"/>
          <w:sz w:val="24"/>
          <w:szCs w:val="24"/>
          <w:highlight w:val="none"/>
        </w:rPr>
        <w:t xml:space="preserve">、柜体采用10°倾斜角设计，符合人体工程学原理，视角更大，操作方便；  </w:t>
      </w:r>
    </w:p>
    <w:p w14:paraId="65FD56F1">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5、</w:t>
      </w:r>
      <w:r>
        <w:rPr>
          <w:rFonts w:hint="eastAsia" w:ascii="宋体" w:hAnsi="宋体" w:eastAsia="宋体" w:cs="宋体"/>
          <w:bCs/>
          <w:color w:val="auto"/>
          <w:kern w:val="0"/>
          <w:sz w:val="24"/>
          <w:szCs w:val="24"/>
          <w:highlight w:val="none"/>
        </w:rPr>
        <w:t>安全柜裸露工作区三侧壁板采用优质304#不锈钢一体化结构</w:t>
      </w:r>
      <w:r>
        <w:rPr>
          <w:rFonts w:hint="eastAsia" w:ascii="宋体" w:hAnsi="宋体" w:eastAsia="宋体" w:cs="宋体"/>
          <w:bCs/>
          <w:color w:val="auto"/>
          <w:kern w:val="0"/>
          <w:sz w:val="24"/>
          <w:szCs w:val="24"/>
          <w:highlight w:val="none"/>
          <w:lang w:eastAsia="zh-CN"/>
        </w:rPr>
        <w:t>；</w:t>
      </w:r>
    </w:p>
    <w:p w14:paraId="2C0D4704">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6</w:t>
      </w:r>
      <w:r>
        <w:rPr>
          <w:rFonts w:hint="eastAsia" w:ascii="宋体" w:hAnsi="宋体" w:eastAsia="宋体" w:cs="宋体"/>
          <w:bCs/>
          <w:color w:val="auto"/>
          <w:kern w:val="0"/>
          <w:sz w:val="24"/>
          <w:szCs w:val="24"/>
          <w:highlight w:val="none"/>
        </w:rPr>
        <w:t>、工作区采用四面（左右</w:t>
      </w:r>
      <w:r>
        <w:rPr>
          <w:rFonts w:hint="eastAsia" w:ascii="宋体" w:hAnsi="宋体" w:eastAsia="宋体" w:cs="宋体"/>
          <w:bCs/>
          <w:color w:val="auto"/>
          <w:kern w:val="0"/>
          <w:sz w:val="24"/>
          <w:szCs w:val="24"/>
          <w:highlight w:val="none"/>
          <w:lang w:eastAsia="zh-CN"/>
        </w:rPr>
        <w:t>两侧</w:t>
      </w:r>
      <w:r>
        <w:rPr>
          <w:rFonts w:hint="eastAsia" w:ascii="宋体" w:hAnsi="宋体" w:eastAsia="宋体" w:cs="宋体"/>
          <w:bCs/>
          <w:color w:val="auto"/>
          <w:kern w:val="0"/>
          <w:sz w:val="24"/>
          <w:szCs w:val="24"/>
          <w:highlight w:val="none"/>
        </w:rPr>
        <w:t>、后部、底部）负压环绕设计；</w:t>
      </w:r>
    </w:p>
    <w:p w14:paraId="0A8A2790">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7</w:t>
      </w:r>
      <w:r>
        <w:rPr>
          <w:rFonts w:hint="eastAsia" w:ascii="宋体" w:hAnsi="宋体" w:eastAsia="宋体" w:cs="宋体"/>
          <w:bCs/>
          <w:color w:val="auto"/>
          <w:kern w:val="0"/>
          <w:sz w:val="24"/>
          <w:szCs w:val="24"/>
          <w:highlight w:val="none"/>
        </w:rPr>
        <w:t>、工作台面材质为优质304#不锈钢，采用盆状式设计，即使实验有废液溢出，也不会流入积液槽中，</w:t>
      </w:r>
      <w:r>
        <w:rPr>
          <w:rFonts w:hint="eastAsia" w:ascii="宋体" w:hAnsi="宋体" w:eastAsia="宋体" w:cs="宋体"/>
          <w:bCs/>
          <w:color w:val="auto"/>
          <w:kern w:val="0"/>
          <w:sz w:val="24"/>
          <w:szCs w:val="24"/>
          <w:highlight w:val="none"/>
          <w:lang w:val="en-US" w:eastAsia="zh-CN"/>
        </w:rPr>
        <w:t>通过排水阀排出，</w:t>
      </w:r>
      <w:r>
        <w:rPr>
          <w:rFonts w:hint="eastAsia" w:ascii="宋体" w:hAnsi="宋体" w:eastAsia="宋体" w:cs="宋体"/>
          <w:bCs/>
          <w:color w:val="auto"/>
          <w:kern w:val="0"/>
          <w:sz w:val="24"/>
          <w:szCs w:val="24"/>
          <w:highlight w:val="none"/>
        </w:rPr>
        <w:t>便于清理；</w:t>
      </w:r>
    </w:p>
    <w:p w14:paraId="2CC5F27B">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8</w:t>
      </w:r>
      <w:r>
        <w:rPr>
          <w:rFonts w:hint="eastAsia" w:ascii="宋体" w:hAnsi="宋体" w:eastAsia="宋体" w:cs="宋体"/>
          <w:bCs/>
          <w:color w:val="auto"/>
          <w:kern w:val="0"/>
          <w:sz w:val="24"/>
          <w:szCs w:val="24"/>
          <w:highlight w:val="none"/>
        </w:rPr>
        <w:t>、福马脚轮设计：脚轮与支架一体化设计，安全柜即可通过脚轮安全移动，也可以通过调节脚轮支脚进行固定和调平；</w:t>
      </w:r>
    </w:p>
    <w:p w14:paraId="559E1605">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9</w:t>
      </w:r>
      <w:r>
        <w:rPr>
          <w:rFonts w:hint="eastAsia" w:ascii="宋体" w:hAnsi="宋体" w:eastAsia="宋体" w:cs="宋体"/>
          <w:bCs/>
          <w:color w:val="auto"/>
          <w:kern w:val="0"/>
          <w:sz w:val="24"/>
          <w:szCs w:val="24"/>
          <w:highlight w:val="none"/>
        </w:rPr>
        <w:t>、前窗玻璃采用≥</w:t>
      </w:r>
      <w:r>
        <w:rPr>
          <w:rFonts w:hint="eastAsia" w:ascii="宋体" w:hAnsi="宋体" w:eastAsia="宋体" w:cs="宋体"/>
          <w:bCs/>
          <w:color w:val="auto"/>
          <w:kern w:val="0"/>
          <w:sz w:val="24"/>
          <w:szCs w:val="24"/>
          <w:highlight w:val="none"/>
          <w:lang w:val="en-US" w:eastAsia="zh-CN"/>
        </w:rPr>
        <w:t>6mm的</w:t>
      </w:r>
      <w:r>
        <w:rPr>
          <w:rFonts w:hint="eastAsia" w:ascii="宋体" w:hAnsi="宋体" w:eastAsia="宋体" w:cs="宋体"/>
          <w:bCs/>
          <w:color w:val="auto"/>
          <w:kern w:val="0"/>
          <w:sz w:val="24"/>
          <w:szCs w:val="24"/>
          <w:highlight w:val="none"/>
        </w:rPr>
        <w:t>双层夹胶防爆安全玻璃；即使玻璃破损，也不会伤人；</w:t>
      </w:r>
    </w:p>
    <w:p w14:paraId="6D8D52BC">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10</w:t>
      </w:r>
      <w:r>
        <w:rPr>
          <w:rFonts w:hint="eastAsia" w:ascii="宋体" w:hAnsi="宋体" w:eastAsia="宋体" w:cs="宋体"/>
          <w:bCs/>
          <w:color w:val="auto"/>
          <w:kern w:val="0"/>
          <w:sz w:val="24"/>
          <w:szCs w:val="24"/>
          <w:highlight w:val="none"/>
        </w:rPr>
        <w:t>、L</w:t>
      </w:r>
      <w:r>
        <w:rPr>
          <w:rFonts w:hint="eastAsia" w:ascii="宋体" w:hAnsi="宋体" w:eastAsia="宋体" w:cs="宋体"/>
          <w:bCs/>
          <w:color w:val="auto"/>
          <w:kern w:val="0"/>
          <w:sz w:val="24"/>
          <w:szCs w:val="24"/>
          <w:highlight w:val="none"/>
          <w:lang w:val="en-US" w:eastAsia="zh-CN"/>
        </w:rPr>
        <w:t>C</w:t>
      </w:r>
      <w:r>
        <w:rPr>
          <w:rFonts w:hint="eastAsia" w:ascii="宋体" w:hAnsi="宋体" w:eastAsia="宋体" w:cs="宋体"/>
          <w:bCs/>
          <w:color w:val="auto"/>
          <w:kern w:val="0"/>
          <w:sz w:val="24"/>
          <w:szCs w:val="24"/>
          <w:highlight w:val="none"/>
        </w:rPr>
        <w:t>D</w:t>
      </w:r>
      <w:r>
        <w:rPr>
          <w:rFonts w:hint="eastAsia" w:ascii="宋体" w:hAnsi="宋体" w:eastAsia="宋体" w:cs="宋体"/>
          <w:bCs/>
          <w:color w:val="auto"/>
          <w:kern w:val="0"/>
          <w:sz w:val="24"/>
          <w:szCs w:val="24"/>
          <w:highlight w:val="none"/>
          <w:lang w:val="en-US" w:eastAsia="zh-CN"/>
        </w:rPr>
        <w:t>彩色</w:t>
      </w:r>
      <w:r>
        <w:rPr>
          <w:rFonts w:hint="eastAsia" w:ascii="宋体" w:hAnsi="宋体" w:eastAsia="宋体" w:cs="宋体"/>
          <w:bCs/>
          <w:color w:val="auto"/>
          <w:kern w:val="0"/>
          <w:sz w:val="24"/>
          <w:szCs w:val="24"/>
          <w:highlight w:val="none"/>
        </w:rPr>
        <w:t>液晶显示屏，全参数显示；</w:t>
      </w:r>
    </w:p>
    <w:p w14:paraId="4B21122A">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 xml:space="preserve">* </w:t>
      </w:r>
      <w:r>
        <w:rPr>
          <w:rFonts w:hint="eastAsia" w:ascii="宋体" w:hAnsi="宋体" w:eastAsia="宋体" w:cs="宋体"/>
          <w:bCs/>
          <w:color w:val="auto"/>
          <w:kern w:val="0"/>
          <w:sz w:val="24"/>
          <w:szCs w:val="24"/>
          <w:highlight w:val="none"/>
          <w:lang w:val="en-US" w:eastAsia="zh-CN"/>
        </w:rPr>
        <w:t>11</w:t>
      </w: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至少包含</w:t>
      </w:r>
      <w:r>
        <w:rPr>
          <w:rFonts w:hint="eastAsia" w:ascii="宋体" w:hAnsi="宋体" w:eastAsia="宋体" w:cs="宋体"/>
          <w:bCs/>
          <w:color w:val="auto"/>
          <w:kern w:val="0"/>
          <w:sz w:val="24"/>
          <w:szCs w:val="24"/>
          <w:highlight w:val="none"/>
        </w:rPr>
        <w:t>脚踏电动、</w:t>
      </w:r>
      <w:r>
        <w:rPr>
          <w:rFonts w:hint="eastAsia" w:ascii="宋体" w:hAnsi="宋体" w:eastAsia="宋体" w:cs="宋体"/>
          <w:bCs/>
          <w:color w:val="auto"/>
          <w:kern w:val="0"/>
          <w:sz w:val="24"/>
          <w:szCs w:val="24"/>
          <w:highlight w:val="none"/>
          <w:lang w:val="en-US" w:eastAsia="zh-CN"/>
        </w:rPr>
        <w:t>轻触</w:t>
      </w:r>
      <w:r>
        <w:rPr>
          <w:rFonts w:hint="eastAsia" w:ascii="宋体" w:hAnsi="宋体" w:eastAsia="宋体" w:cs="宋体"/>
          <w:bCs/>
          <w:color w:val="auto"/>
          <w:kern w:val="0"/>
          <w:sz w:val="24"/>
          <w:szCs w:val="24"/>
          <w:highlight w:val="none"/>
        </w:rPr>
        <w:t>按键、遥控电动三种方式控制玻璃门升降，玻璃门升降到安全操作高度时，自动停止升降；玻璃门升降时不用直接接触玻璃；</w:t>
      </w:r>
    </w:p>
    <w:p w14:paraId="54DDBCDB">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12</w:t>
      </w:r>
      <w:r>
        <w:rPr>
          <w:rFonts w:hint="eastAsia" w:ascii="宋体" w:hAnsi="宋体" w:eastAsia="宋体" w:cs="宋体"/>
          <w:bCs/>
          <w:color w:val="auto"/>
          <w:kern w:val="0"/>
          <w:sz w:val="24"/>
          <w:szCs w:val="24"/>
          <w:highlight w:val="none"/>
        </w:rPr>
        <w:t>、安全柜的所有按键操作，都可通过遥控控制实现</w:t>
      </w:r>
      <w:r>
        <w:rPr>
          <w:rFonts w:hint="eastAsia" w:ascii="宋体" w:hAnsi="宋体" w:eastAsia="宋体" w:cs="宋体"/>
          <w:bCs/>
          <w:color w:val="auto"/>
          <w:kern w:val="0"/>
          <w:sz w:val="24"/>
          <w:szCs w:val="24"/>
          <w:highlight w:val="none"/>
          <w:lang w:eastAsia="zh-CN"/>
        </w:rPr>
        <w:t>；</w:t>
      </w:r>
    </w:p>
    <w:p w14:paraId="74E689FD">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13</w:t>
      </w:r>
      <w:r>
        <w:rPr>
          <w:rFonts w:hint="eastAsia" w:ascii="宋体" w:hAnsi="宋体" w:eastAsia="宋体" w:cs="宋体"/>
          <w:bCs/>
          <w:color w:val="auto"/>
          <w:kern w:val="0"/>
          <w:sz w:val="24"/>
          <w:szCs w:val="24"/>
          <w:highlight w:val="none"/>
        </w:rPr>
        <w:t>、具有预约定时功能</w:t>
      </w:r>
      <w:r>
        <w:rPr>
          <w:rFonts w:hint="eastAsia" w:ascii="宋体" w:hAnsi="宋体" w:eastAsia="宋体" w:cs="宋体"/>
          <w:bCs/>
          <w:color w:val="auto"/>
          <w:kern w:val="0"/>
          <w:sz w:val="24"/>
          <w:szCs w:val="24"/>
          <w:highlight w:val="none"/>
          <w:lang w:eastAsia="zh-CN"/>
        </w:rPr>
        <w:t>；</w:t>
      </w:r>
    </w:p>
    <w:p w14:paraId="3BF7E5B5">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14</w:t>
      </w:r>
      <w:r>
        <w:rPr>
          <w:rFonts w:hint="eastAsia" w:ascii="宋体" w:hAnsi="宋体" w:eastAsia="宋体" w:cs="宋体"/>
          <w:bCs/>
          <w:color w:val="auto"/>
          <w:kern w:val="0"/>
          <w:sz w:val="24"/>
          <w:szCs w:val="24"/>
          <w:highlight w:val="none"/>
        </w:rPr>
        <w:t>、安全柜内加压500Pa，保持</w:t>
      </w:r>
      <w:r>
        <w:rPr>
          <w:rFonts w:hint="eastAsia" w:ascii="宋体" w:hAnsi="宋体" w:eastAsia="宋体" w:cs="宋体"/>
          <w:bCs/>
          <w:color w:val="auto"/>
          <w:kern w:val="0"/>
          <w:sz w:val="24"/>
          <w:szCs w:val="24"/>
          <w:highlight w:val="none"/>
          <w:lang w:val="en-US" w:eastAsia="zh-CN"/>
        </w:rPr>
        <w:t>1</w:t>
      </w:r>
      <w:r>
        <w:rPr>
          <w:rFonts w:hint="eastAsia" w:ascii="宋体" w:hAnsi="宋体" w:eastAsia="宋体" w:cs="宋体"/>
          <w:bCs/>
          <w:color w:val="auto"/>
          <w:kern w:val="0"/>
          <w:sz w:val="24"/>
          <w:szCs w:val="24"/>
          <w:highlight w:val="none"/>
        </w:rPr>
        <w:t>0min后气压不低于450Pa</w:t>
      </w:r>
      <w:r>
        <w:rPr>
          <w:rFonts w:hint="eastAsia" w:ascii="宋体" w:hAnsi="宋体" w:eastAsia="宋体" w:cs="宋体"/>
          <w:bCs/>
          <w:color w:val="auto"/>
          <w:kern w:val="0"/>
          <w:sz w:val="24"/>
          <w:szCs w:val="24"/>
          <w:highlight w:val="none"/>
          <w:lang w:eastAsia="zh-CN"/>
        </w:rPr>
        <w:t>；</w:t>
      </w:r>
    </w:p>
    <w:p w14:paraId="3ED9CAA8">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15</w:t>
      </w:r>
      <w:r>
        <w:rPr>
          <w:rFonts w:hint="eastAsia" w:ascii="宋体" w:hAnsi="宋体" w:eastAsia="宋体" w:cs="宋体"/>
          <w:bCs/>
          <w:color w:val="auto"/>
          <w:kern w:val="0"/>
          <w:sz w:val="24"/>
          <w:szCs w:val="24"/>
          <w:highlight w:val="none"/>
        </w:rPr>
        <w:t>、前窗</w:t>
      </w:r>
      <w:r>
        <w:rPr>
          <w:rFonts w:hint="eastAsia" w:ascii="宋体" w:hAnsi="宋体" w:eastAsia="宋体" w:cs="宋体"/>
          <w:bCs/>
          <w:color w:val="auto"/>
          <w:kern w:val="0"/>
          <w:sz w:val="24"/>
          <w:szCs w:val="24"/>
          <w:highlight w:val="none"/>
          <w:lang w:val="en-US" w:eastAsia="zh-CN"/>
        </w:rPr>
        <w:t>采用垂直</w:t>
      </w:r>
      <w:r>
        <w:rPr>
          <w:rFonts w:hint="eastAsia" w:ascii="宋体" w:hAnsi="宋体" w:eastAsia="宋体" w:cs="宋体"/>
          <w:bCs/>
          <w:color w:val="auto"/>
          <w:kern w:val="0"/>
          <w:sz w:val="24"/>
          <w:szCs w:val="24"/>
          <w:highlight w:val="none"/>
        </w:rPr>
        <w:t>气流隔断设计</w:t>
      </w:r>
      <w:r>
        <w:rPr>
          <w:rFonts w:hint="eastAsia" w:ascii="宋体" w:hAnsi="宋体" w:eastAsia="宋体" w:cs="宋体"/>
          <w:bCs/>
          <w:color w:val="auto"/>
          <w:kern w:val="0"/>
          <w:sz w:val="24"/>
          <w:szCs w:val="24"/>
          <w:highlight w:val="none"/>
          <w:lang w:eastAsia="zh-CN"/>
        </w:rPr>
        <w:t>；</w:t>
      </w:r>
    </w:p>
    <w:p w14:paraId="45EEE34D">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16、有故障检测功能，根据过滤器运行负载，在范围内自行调整</w:t>
      </w:r>
      <w:r>
        <w:rPr>
          <w:rFonts w:hint="eastAsia" w:ascii="宋体" w:hAnsi="宋体" w:eastAsia="宋体" w:cs="宋体"/>
          <w:bCs/>
          <w:color w:val="auto"/>
          <w:kern w:val="0"/>
          <w:sz w:val="24"/>
          <w:szCs w:val="24"/>
          <w:highlight w:val="none"/>
        </w:rPr>
        <w:t>吸入口风速</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lang w:val="en-US" w:eastAsia="zh-CN"/>
        </w:rPr>
        <w:t>下降风速，保证过滤的效率及实验安全；</w:t>
      </w:r>
    </w:p>
    <w:p w14:paraId="54397D78">
      <w:pPr>
        <w:keepNext w:val="0"/>
        <w:keepLines w:val="0"/>
        <w:pageBreakBefore w:val="0"/>
        <w:widowControl/>
        <w:numPr>
          <w:ilvl w:val="0"/>
          <w:numId w:val="0"/>
        </w:numPr>
        <w:kinsoku/>
        <w:wordWrap/>
        <w:overflowPunct/>
        <w:topLinePunct w:val="0"/>
        <w:autoSpaceDE/>
        <w:autoSpaceDN/>
        <w:bidi w:val="0"/>
        <w:adjustRightInd/>
        <w:snapToGrid/>
        <w:spacing w:before="75" w:after="75"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17、箱体防撞部分采用 </w:t>
      </w:r>
      <w:r>
        <w:rPr>
          <w:rFonts w:hint="default" w:ascii="Arial" w:hAnsi="Arial" w:eastAsia="宋体" w:cs="Arial"/>
          <w:sz w:val="24"/>
          <w:szCs w:val="24"/>
          <w:lang w:val="en-US" w:eastAsia="zh-CN"/>
        </w:rPr>
        <w:t>≥</w:t>
      </w:r>
      <w:r>
        <w:rPr>
          <w:rFonts w:hint="eastAsia" w:ascii="宋体" w:hAnsi="宋体" w:eastAsia="宋体" w:cs="宋体"/>
          <w:sz w:val="24"/>
          <w:szCs w:val="24"/>
          <w:lang w:val="en-US" w:eastAsia="zh-CN"/>
        </w:rPr>
        <w:t>1.5mm 厚的冷轧钢板且表面静电喷涂；</w:t>
      </w:r>
    </w:p>
    <w:p w14:paraId="2B91BD56">
      <w:pPr>
        <w:keepNext w:val="0"/>
        <w:keepLines w:val="0"/>
        <w:pageBreakBefore w:val="0"/>
        <w:widowControl/>
        <w:kinsoku/>
        <w:wordWrap/>
        <w:overflowPunct/>
        <w:topLinePunct w:val="0"/>
        <w:autoSpaceDE/>
        <w:autoSpaceDN/>
        <w:bidi w:val="0"/>
        <w:adjustRightInd/>
        <w:snapToGrid/>
        <w:spacing w:before="75" w:after="75" w:line="360" w:lineRule="auto"/>
        <w:textAlignment w:val="auto"/>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18、</w:t>
      </w:r>
      <w:r>
        <w:rPr>
          <w:rFonts w:hint="eastAsia" w:ascii="宋体" w:hAnsi="宋体" w:eastAsia="宋体" w:cs="宋体"/>
          <w:i w:val="0"/>
          <w:iCs w:val="0"/>
          <w:color w:val="000000"/>
          <w:sz w:val="24"/>
          <w:szCs w:val="24"/>
          <w:u w:val="none"/>
        </w:rPr>
        <w:t>操作区顶部配备304不锈钢挂杆、</w:t>
      </w:r>
      <w:r>
        <w:rPr>
          <w:rFonts w:hint="default" w:ascii="Arial" w:hAnsi="Arial" w:eastAsia="宋体" w:cs="Arial"/>
          <w:i w:val="0"/>
          <w:iCs w:val="0"/>
          <w:color w:val="000000"/>
          <w:sz w:val="24"/>
          <w:szCs w:val="24"/>
          <w:u w:val="none"/>
        </w:rPr>
        <w:t>≥</w:t>
      </w:r>
      <w:r>
        <w:rPr>
          <w:rFonts w:hint="eastAsia" w:ascii="宋体" w:hAnsi="宋体" w:cs="宋体"/>
          <w:bCs/>
          <w:kern w:val="0"/>
          <w:sz w:val="24"/>
          <w:szCs w:val="24"/>
          <w:highlight w:val="none"/>
          <w:lang w:val="en-US" w:eastAsia="zh-CN"/>
        </w:rPr>
        <w:t>10个S型不锈钢挂钩</w:t>
      </w:r>
      <w:r>
        <w:rPr>
          <w:rFonts w:hint="eastAsia" w:ascii="宋体" w:hAnsi="宋体" w:eastAsia="宋体" w:cs="宋体"/>
          <w:i w:val="0"/>
          <w:iCs w:val="0"/>
          <w:color w:val="000000"/>
          <w:sz w:val="24"/>
          <w:szCs w:val="24"/>
          <w:u w:val="none"/>
        </w:rPr>
        <w:t>挂钩，</w:t>
      </w:r>
      <w:r>
        <w:rPr>
          <w:rFonts w:hint="eastAsia" w:ascii="宋体" w:hAnsi="宋体" w:eastAsia="宋体" w:cs="宋体"/>
          <w:i w:val="0"/>
          <w:iCs w:val="0"/>
          <w:color w:val="000000"/>
          <w:sz w:val="24"/>
          <w:szCs w:val="24"/>
          <w:u w:val="none"/>
          <w:lang w:val="en-US" w:eastAsia="zh-CN"/>
        </w:rPr>
        <w:t>方便实验操作</w:t>
      </w:r>
      <w:r>
        <w:rPr>
          <w:rFonts w:hint="eastAsia" w:ascii="宋体" w:hAnsi="宋体" w:eastAsia="宋体" w:cs="宋体"/>
          <w:i w:val="0"/>
          <w:iCs w:val="0"/>
          <w:color w:val="000000"/>
          <w:sz w:val="24"/>
          <w:szCs w:val="24"/>
          <w:u w:val="none"/>
        </w:rPr>
        <w:t>；</w:t>
      </w:r>
    </w:p>
    <w:p w14:paraId="69B94C36">
      <w:pPr>
        <w:keepNext w:val="0"/>
        <w:keepLines w:val="0"/>
        <w:pageBreakBefore w:val="0"/>
        <w:widowControl/>
        <w:numPr>
          <w:ilvl w:val="0"/>
          <w:numId w:val="0"/>
        </w:numPr>
        <w:kinsoku/>
        <w:wordWrap/>
        <w:overflowPunct/>
        <w:topLinePunct w:val="0"/>
        <w:autoSpaceDE/>
        <w:autoSpaceDN/>
        <w:bidi w:val="0"/>
        <w:adjustRightInd/>
        <w:snapToGrid/>
        <w:spacing w:before="75" w:after="75"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kern w:val="0"/>
          <w:sz w:val="24"/>
          <w:szCs w:val="24"/>
          <w:highlight w:val="none"/>
        </w:rPr>
        <w:t>*</w:t>
      </w:r>
      <w:r>
        <w:rPr>
          <w:rFonts w:hint="eastAsia" w:ascii="宋体" w:hAnsi="宋体" w:eastAsia="宋体" w:cs="宋体"/>
          <w:bCs/>
          <w:color w:val="auto"/>
          <w:kern w:val="0"/>
          <w:sz w:val="24"/>
          <w:szCs w:val="24"/>
          <w:highlight w:val="none"/>
          <w:lang w:val="en-US" w:eastAsia="zh-CN"/>
        </w:rPr>
        <w:t>19</w:t>
      </w:r>
      <w:r>
        <w:rPr>
          <w:rFonts w:hint="eastAsia" w:ascii="宋体" w:hAnsi="宋体" w:eastAsia="宋体" w:cs="宋体"/>
          <w:color w:val="auto"/>
          <w:sz w:val="24"/>
          <w:szCs w:val="24"/>
          <w:highlight w:val="none"/>
          <w:lang w:val="en-US" w:eastAsia="zh-CN"/>
        </w:rPr>
        <w:t>、</w:t>
      </w:r>
      <w:r>
        <w:rPr>
          <w:rFonts w:hint="eastAsia" w:ascii="宋体" w:hAnsi="宋体" w:eastAsia="宋体" w:cs="宋体"/>
          <w:bCs/>
          <w:color w:val="auto"/>
          <w:kern w:val="0"/>
          <w:sz w:val="24"/>
          <w:szCs w:val="24"/>
          <w:highlight w:val="none"/>
          <w:lang w:eastAsia="zh-CN"/>
        </w:rPr>
        <w:t>前窗关闭双重触发信号，使紫外灯杀菌消毒功能正常开启；</w:t>
      </w:r>
    </w:p>
    <w:p w14:paraId="47EE3AF3">
      <w:pPr>
        <w:keepNext w:val="0"/>
        <w:keepLines w:val="0"/>
        <w:pageBreakBefore w:val="0"/>
        <w:widowControl/>
        <w:numPr>
          <w:ilvl w:val="0"/>
          <w:numId w:val="0"/>
        </w:numPr>
        <w:kinsoku/>
        <w:wordWrap/>
        <w:overflowPunct/>
        <w:topLinePunct w:val="0"/>
        <w:autoSpaceDE/>
        <w:autoSpaceDN/>
        <w:bidi w:val="0"/>
        <w:adjustRightInd/>
        <w:snapToGrid/>
        <w:spacing w:before="75" w:after="75" w:line="360" w:lineRule="auto"/>
        <w:textAlignment w:val="auto"/>
        <w:rPr>
          <w:rFonts w:hint="eastAsia" w:ascii="宋体" w:hAnsi="宋体" w:eastAsia="宋体" w:cs="宋体"/>
          <w:color w:val="auto"/>
          <w:sz w:val="24"/>
          <w:szCs w:val="24"/>
          <w:highlight w:val="none"/>
          <w:lang w:val="en-US" w:eastAsia="zh-CN"/>
        </w:rPr>
      </w:pPr>
      <w:bookmarkStart w:id="0" w:name="OLE_LINK1"/>
      <w:r>
        <w:rPr>
          <w:rFonts w:hint="eastAsia" w:ascii="宋体" w:hAnsi="宋体" w:eastAsia="宋体" w:cs="宋体"/>
          <w:bCs/>
          <w:color w:val="auto"/>
          <w:kern w:val="0"/>
          <w:sz w:val="24"/>
          <w:szCs w:val="24"/>
          <w:highlight w:val="none"/>
        </w:rPr>
        <w:t>*</w:t>
      </w:r>
      <w:bookmarkEnd w:id="0"/>
      <w:r>
        <w:rPr>
          <w:rFonts w:hint="eastAsia" w:ascii="宋体" w:hAnsi="宋体" w:eastAsia="宋体" w:cs="宋体"/>
          <w:bCs/>
          <w:color w:val="auto"/>
          <w:kern w:val="0"/>
          <w:sz w:val="24"/>
          <w:szCs w:val="24"/>
          <w:highlight w:val="none"/>
          <w:lang w:val="en-US" w:eastAsia="zh-CN"/>
        </w:rPr>
        <w:t>20</w:t>
      </w:r>
      <w:r>
        <w:rPr>
          <w:rFonts w:hint="eastAsia" w:ascii="宋体" w:hAnsi="宋体" w:eastAsia="宋体" w:cs="宋体"/>
          <w:color w:val="auto"/>
          <w:sz w:val="24"/>
          <w:szCs w:val="24"/>
          <w:highlight w:val="none"/>
          <w:lang w:val="en-US" w:eastAsia="zh-CN"/>
        </w:rPr>
        <w:t>、</w:t>
      </w:r>
      <w:r>
        <w:rPr>
          <w:rFonts w:hint="eastAsia" w:ascii="宋体" w:hAnsi="宋体" w:eastAsia="宋体" w:cs="宋体"/>
          <w:bCs/>
          <w:color w:val="auto"/>
          <w:kern w:val="0"/>
          <w:sz w:val="24"/>
          <w:szCs w:val="24"/>
          <w:highlight w:val="none"/>
          <w:lang w:val="en-US" w:eastAsia="zh-CN"/>
        </w:rPr>
        <w:t>负压风道设有异物过滤结构，</w:t>
      </w:r>
      <w:r>
        <w:rPr>
          <w:rFonts w:hint="eastAsia" w:ascii="宋体" w:hAnsi="宋体" w:eastAsia="宋体" w:cs="宋体"/>
          <w:color w:val="auto"/>
          <w:sz w:val="24"/>
          <w:szCs w:val="24"/>
          <w:highlight w:val="none"/>
          <w:lang w:eastAsia="zh-CN"/>
        </w:rPr>
        <w:t>防止</w:t>
      </w:r>
      <w:r>
        <w:rPr>
          <w:rFonts w:hint="eastAsia" w:ascii="宋体" w:hAnsi="宋体" w:eastAsia="宋体" w:cs="宋体"/>
          <w:color w:val="auto"/>
          <w:sz w:val="24"/>
          <w:szCs w:val="24"/>
          <w:highlight w:val="none"/>
          <w:lang w:val="en-US" w:eastAsia="zh-CN"/>
        </w:rPr>
        <w:t>纸屑</w:t>
      </w:r>
      <w:r>
        <w:rPr>
          <w:rFonts w:hint="eastAsia" w:ascii="宋体" w:hAnsi="宋体" w:eastAsia="宋体" w:cs="宋体"/>
          <w:color w:val="auto"/>
          <w:sz w:val="24"/>
          <w:szCs w:val="24"/>
          <w:highlight w:val="none"/>
          <w:lang w:eastAsia="zh-CN"/>
        </w:rPr>
        <w:t>等异物进入风机系统</w:t>
      </w:r>
      <w:r>
        <w:rPr>
          <w:rFonts w:hint="eastAsia" w:ascii="宋体" w:hAnsi="宋体" w:eastAsia="宋体" w:cs="宋体"/>
          <w:color w:val="auto"/>
          <w:sz w:val="24"/>
          <w:szCs w:val="24"/>
          <w:highlight w:val="none"/>
          <w:lang w:val="en-US" w:eastAsia="zh-CN"/>
        </w:rPr>
        <w:t>影响产品正常运行；</w:t>
      </w:r>
    </w:p>
    <w:p w14:paraId="2D4E5CEE">
      <w:pPr>
        <w:keepNext w:val="0"/>
        <w:keepLines w:val="0"/>
        <w:pageBreakBefore w:val="0"/>
        <w:widowControl/>
        <w:numPr>
          <w:ilvl w:val="0"/>
          <w:numId w:val="0"/>
        </w:numPr>
        <w:kinsoku/>
        <w:wordWrap/>
        <w:overflowPunct/>
        <w:topLinePunct w:val="0"/>
        <w:autoSpaceDE/>
        <w:autoSpaceDN/>
        <w:bidi w:val="0"/>
        <w:adjustRightInd/>
        <w:snapToGrid/>
        <w:spacing w:before="75" w:after="75" w:line="360" w:lineRule="auto"/>
        <w:textAlignment w:val="auto"/>
        <w:rPr>
          <w:rFonts w:hint="eastAsia" w:ascii="宋体" w:hAnsi="宋体" w:eastAsia="宋体" w:cs="宋体"/>
          <w:color w:val="auto"/>
          <w:sz w:val="24"/>
          <w:szCs w:val="24"/>
          <w:highlight w:val="none"/>
          <w:lang w:val="en-US" w:eastAsia="zh-CN"/>
        </w:rPr>
      </w:pPr>
    </w:p>
    <w:p w14:paraId="7C3133B3">
      <w:pPr>
        <w:widowControl/>
        <w:spacing w:before="75" w:after="75" w:line="276" w:lineRule="auto"/>
        <w:rPr>
          <w:rFonts w:hint="eastAsia" w:ascii="宋体" w:hAnsi="宋体" w:eastAsia="宋体" w:cs="宋体"/>
          <w:bCs/>
          <w:color w:val="auto"/>
          <w:kern w:val="0"/>
          <w:sz w:val="24"/>
          <w:highlight w:val="none"/>
          <w:lang w:val="en-US" w:eastAsia="zh-CN"/>
        </w:rPr>
      </w:pPr>
      <w:r>
        <w:rPr>
          <w:rFonts w:hint="eastAsia" w:ascii="宋体" w:hAnsi="宋体" w:cs="宋体"/>
          <w:bCs/>
          <w:color w:val="auto"/>
          <w:kern w:val="0"/>
          <w:sz w:val="24"/>
          <w:highlight w:val="none"/>
          <w:lang w:val="en-US" w:eastAsia="zh-CN"/>
        </w:rPr>
        <w:t>四</w:t>
      </w:r>
      <w:r>
        <w:rPr>
          <w:rFonts w:hint="eastAsia" w:ascii="宋体" w:hAnsi="宋体" w:cs="宋体"/>
          <w:bCs/>
          <w:color w:val="auto"/>
          <w:kern w:val="0"/>
          <w:sz w:val="24"/>
          <w:highlight w:val="none"/>
        </w:rPr>
        <w:t>、设备配置清单</w:t>
      </w:r>
      <w:r>
        <w:rPr>
          <w:rFonts w:hint="eastAsia" w:ascii="宋体" w:hAnsi="宋体" w:cs="宋体"/>
          <w:bCs/>
          <w:color w:val="auto"/>
          <w:kern w:val="0"/>
          <w:sz w:val="24"/>
          <w:highlight w:val="none"/>
          <w:lang w:val="en-US" w:eastAsia="zh-CN"/>
        </w:rPr>
        <w:t>要求</w:t>
      </w:r>
    </w:p>
    <w:p w14:paraId="04A2B2C8">
      <w:pPr>
        <w:widowControl/>
        <w:spacing w:before="75" w:after="75" w:line="276" w:lineRule="auto"/>
        <w:ind w:firstLine="360" w:firstLineChars="150"/>
        <w:rPr>
          <w:rFonts w:hint="eastAsia" w:ascii="宋体" w:hAnsi="宋体" w:cs="宋体"/>
          <w:bCs/>
          <w:color w:val="auto"/>
          <w:kern w:val="0"/>
          <w:sz w:val="24"/>
          <w:highlight w:val="none"/>
        </w:rPr>
      </w:pPr>
      <w:r>
        <w:rPr>
          <w:rFonts w:hint="eastAsia" w:ascii="宋体" w:hAnsi="宋体" w:cs="宋体"/>
          <w:bCs/>
          <w:color w:val="auto"/>
          <w:kern w:val="0"/>
          <w:sz w:val="24"/>
          <w:highlight w:val="none"/>
          <w:lang w:val="en-US" w:eastAsia="zh-CN"/>
        </w:rPr>
        <w:t>至少包含</w:t>
      </w:r>
      <w:r>
        <w:rPr>
          <w:rFonts w:hint="eastAsia" w:ascii="宋体" w:hAnsi="宋体" w:cs="宋体"/>
          <w:bCs/>
          <w:color w:val="auto"/>
          <w:kern w:val="0"/>
          <w:sz w:val="24"/>
          <w:highlight w:val="none"/>
        </w:rPr>
        <w:t>主机1台、底座1套、内风机1台、送风过滤器1套、排风过滤器1套、国标插座2个、遥控器1件、脚踏开关1件、紫外灯1件、照明灯2件</w:t>
      </w:r>
      <w:r>
        <w:rPr>
          <w:rFonts w:hint="eastAsia" w:ascii="宋体" w:hAnsi="宋体" w:eastAsia="宋体" w:cs="宋体"/>
          <w:i w:val="0"/>
          <w:iCs w:val="0"/>
          <w:color w:val="000000"/>
          <w:sz w:val="24"/>
          <w:szCs w:val="24"/>
          <w:u w:val="none"/>
          <w:lang w:val="en-US" w:eastAsia="zh-CN"/>
        </w:rPr>
        <w:t>、实验椅子2把</w:t>
      </w:r>
      <w:r>
        <w:rPr>
          <w:rFonts w:hint="eastAsia" w:ascii="宋体" w:hAnsi="宋体" w:cs="宋体"/>
          <w:bCs/>
          <w:color w:val="auto"/>
          <w:kern w:val="0"/>
          <w:sz w:val="24"/>
          <w:highlight w:val="none"/>
        </w:rPr>
        <w:t>。</w:t>
      </w:r>
    </w:p>
    <w:p w14:paraId="628E8B70">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C15063"/>
    <w:multiLevelType w:val="singleLevel"/>
    <w:tmpl w:val="FDC1506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EB44E7C"/>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4B0D29"/>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1F9957E4"/>
    <w:rsid w:val="209163BA"/>
    <w:rsid w:val="20A226E2"/>
    <w:rsid w:val="21131108"/>
    <w:rsid w:val="215B11CC"/>
    <w:rsid w:val="217008B4"/>
    <w:rsid w:val="217D46AD"/>
    <w:rsid w:val="21872574"/>
    <w:rsid w:val="21AD0E6E"/>
    <w:rsid w:val="22600256"/>
    <w:rsid w:val="22873A35"/>
    <w:rsid w:val="22D55F01"/>
    <w:rsid w:val="232B509D"/>
    <w:rsid w:val="23352A9B"/>
    <w:rsid w:val="235F6A26"/>
    <w:rsid w:val="23716347"/>
    <w:rsid w:val="237F7C07"/>
    <w:rsid w:val="23B84861"/>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12B554B"/>
    <w:rsid w:val="31331A23"/>
    <w:rsid w:val="3159147B"/>
    <w:rsid w:val="316F012F"/>
    <w:rsid w:val="31821737"/>
    <w:rsid w:val="31CE7227"/>
    <w:rsid w:val="31DA47F8"/>
    <w:rsid w:val="32101599"/>
    <w:rsid w:val="32193C10"/>
    <w:rsid w:val="32703207"/>
    <w:rsid w:val="332835CD"/>
    <w:rsid w:val="333312F4"/>
    <w:rsid w:val="33672669"/>
    <w:rsid w:val="33E01DF8"/>
    <w:rsid w:val="340B4DA0"/>
    <w:rsid w:val="34374E66"/>
    <w:rsid w:val="34A376A5"/>
    <w:rsid w:val="34DB551B"/>
    <w:rsid w:val="367C2B72"/>
    <w:rsid w:val="36A232A8"/>
    <w:rsid w:val="36DA6FDC"/>
    <w:rsid w:val="37386C54"/>
    <w:rsid w:val="375A2153"/>
    <w:rsid w:val="38431D54"/>
    <w:rsid w:val="386A5533"/>
    <w:rsid w:val="38A24C9D"/>
    <w:rsid w:val="38BD773F"/>
    <w:rsid w:val="39292CF8"/>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B8E031D"/>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EF957F8"/>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D01A5E"/>
    <w:rsid w:val="75F8798C"/>
    <w:rsid w:val="765D7AEC"/>
    <w:rsid w:val="76687D3E"/>
    <w:rsid w:val="76AD62DD"/>
    <w:rsid w:val="76D106C0"/>
    <w:rsid w:val="76E00193"/>
    <w:rsid w:val="772207AC"/>
    <w:rsid w:val="777D2616"/>
    <w:rsid w:val="779A286B"/>
    <w:rsid w:val="77B62F9E"/>
    <w:rsid w:val="77C06439"/>
    <w:rsid w:val="77D07A57"/>
    <w:rsid w:val="782C7B34"/>
    <w:rsid w:val="78411105"/>
    <w:rsid w:val="7933792B"/>
    <w:rsid w:val="79545D46"/>
    <w:rsid w:val="795D6854"/>
    <w:rsid w:val="79715E8C"/>
    <w:rsid w:val="79D272E4"/>
    <w:rsid w:val="7A9674E6"/>
    <w:rsid w:val="7BAB5214"/>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2362</Words>
  <Characters>2741</Characters>
  <Lines>0</Lines>
  <Paragraphs>0</Paragraphs>
  <TotalTime>2</TotalTime>
  <ScaleCrop>false</ScaleCrop>
  <LinksUpToDate>false</LinksUpToDate>
  <CharactersWithSpaces>2766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2026-08-07T00:35:32Z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1D2B2A9C93404D23BA92FD76318F205D_13</vt:lpwstr>
  </property>
  <property fmtid="{D5CDD505-2E9C-101B-9397-08002B2CF9AE}" pid="4" name="KSOTemplateDocerSaveRecord">
    <vt:lpwstr>eyJoZGlkIjoiMWZlOGMyNzU0NDE2NzYzMGE0MWRhNmUwMzM1OWU0OGEiLCJ1c2VySWQiOiIxNDYwMjQ5NTM2In0=</vt:lpwstr>
  </property>
</Properties>
</file>