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F3A321">
      <w:pPr>
        <w:jc w:val="center"/>
        <w:rPr>
          <w:rFonts w:hint="eastAsia"/>
          <w:b/>
          <w:bCs/>
          <w:sz w:val="24"/>
          <w:szCs w:val="24"/>
        </w:rPr>
      </w:pPr>
      <w:r>
        <w:rPr>
          <w:rFonts w:hint="eastAsia"/>
          <w:b/>
          <w:bCs/>
          <w:sz w:val="30"/>
          <w:szCs w:val="30"/>
          <w:lang w:eastAsia="zh-CN"/>
        </w:rPr>
        <w:t>德宏州人民医院</w:t>
      </w:r>
      <w:r>
        <w:rPr>
          <w:rFonts w:hint="eastAsia"/>
          <w:b/>
          <w:bCs/>
          <w:sz w:val="30"/>
          <w:szCs w:val="30"/>
          <w:lang w:val="en-US" w:eastAsia="zh-CN"/>
        </w:rPr>
        <w:t>自动体外除颤仪</w:t>
      </w:r>
    </w:p>
    <w:p w14:paraId="27317F20">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lang w:val="en-US" w:eastAsia="zh-CN"/>
        </w:rPr>
      </w:pPr>
    </w:p>
    <w:p w14:paraId="621C948A">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附件1：</w:t>
      </w:r>
    </w:p>
    <w:p w14:paraId="6EC19AAD">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lang w:val="en-US" w:eastAsia="zh-CN"/>
        </w:rPr>
        <w:t>A包：</w:t>
      </w:r>
    </w:p>
    <w:p w14:paraId="00EE159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一、参数</w:t>
      </w:r>
    </w:p>
    <w:p w14:paraId="13A82E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kern w:val="2"/>
          <w:sz w:val="24"/>
          <w:szCs w:val="24"/>
          <w:highlight w:val="none"/>
          <w:lang w:val="en-US" w:eastAsia="zh-CN" w:bidi="ar-SA"/>
        </w:rPr>
        <w:t>1．</w:t>
      </w:r>
      <w:r>
        <w:rPr>
          <w:rFonts w:hint="eastAsia" w:ascii="宋体" w:hAnsi="宋体" w:eastAsia="宋体" w:cs="Times New Roman"/>
          <w:color w:val="auto"/>
          <w:sz w:val="24"/>
          <w:highlight w:val="none"/>
        </w:rPr>
        <w:t>物理性能：</w:t>
      </w:r>
    </w:p>
    <w:p w14:paraId="0F97BE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1</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整机重量（含电池）≤2</w:t>
      </w:r>
      <w:r>
        <w:rPr>
          <w:rFonts w:hint="eastAsia" w:ascii="宋体" w:hAnsi="宋体" w:eastAsia="宋体" w:cs="Times New Roman"/>
          <w:color w:val="auto"/>
          <w:sz w:val="24"/>
          <w:highlight w:val="none"/>
          <w:lang w:val="en-US" w:eastAsia="zh-CN"/>
        </w:rPr>
        <w:t>．</w:t>
      </w:r>
      <w:r>
        <w:rPr>
          <w:rFonts w:hint="eastAsia" w:ascii="宋体" w:hAnsi="宋体" w:eastAsia="宋体" w:cs="Times New Roman"/>
          <w:color w:val="auto"/>
          <w:sz w:val="24"/>
          <w:highlight w:val="none"/>
        </w:rPr>
        <w:t>6Kg；</w:t>
      </w:r>
    </w:p>
    <w:p w14:paraId="300178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设备具备便携把手，具备高便携性；</w:t>
      </w:r>
    </w:p>
    <w:p w14:paraId="122A33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设备能承受在任何角度由≥1</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5m高度跌落后仍完好无损；</w:t>
      </w:r>
    </w:p>
    <w:p w14:paraId="6191BB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4</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主机为不低于IP55的防尘防水设备；</w:t>
      </w:r>
    </w:p>
    <w:p w14:paraId="35EFAFC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5</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工作温度范围广于等于：-5ºC～50ºC；</w:t>
      </w:r>
    </w:p>
    <w:p w14:paraId="31953D3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6</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工作湿度范围广于等于：5%～95%非冷凝；</w:t>
      </w:r>
    </w:p>
    <w:p w14:paraId="742B49A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7</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主机设备使用寿命≥10年；</w:t>
      </w:r>
    </w:p>
    <w:p w14:paraId="172462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8</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可以对设备使用酒精类、双氧水、异丙醇等方式进行清洁及消毒；</w:t>
      </w:r>
    </w:p>
    <w:p w14:paraId="0E74F7A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rPr>
        <w:t>除颤性能：</w:t>
      </w:r>
    </w:p>
    <w:p w14:paraId="42C1CBF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1</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采用双相波技术，双相指数截断（BTE）波形，波形参数可根据病人阻抗进行自动补偿；</w:t>
      </w:r>
    </w:p>
    <w:p w14:paraId="53C9BC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输出能量：最大能量可支持360J；</w:t>
      </w:r>
    </w:p>
    <w:p w14:paraId="5DCD2CE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设备开机时间≤3秒</w:t>
      </w:r>
    </w:p>
    <w:p w14:paraId="028073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4</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从开机到200J放电准备就绪用时≤8s；</w:t>
      </w:r>
    </w:p>
    <w:p w14:paraId="7DDA96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5</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开始AED分析到200J放电准备就绪时间≤5s；</w:t>
      </w:r>
    </w:p>
    <w:p w14:paraId="4288B6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6</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具有心电噪声及运动干扰检测功能，如果检测到干扰，系统会发出对应语音提示施救者；</w:t>
      </w:r>
    </w:p>
    <w:p w14:paraId="710ABB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7</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除颤能量精度≤±10%；</w:t>
      </w:r>
    </w:p>
    <w:p w14:paraId="0415BC6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rPr>
        <w:t>CPR心肺复苏：</w:t>
      </w:r>
    </w:p>
    <w:p w14:paraId="05500E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1</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除颤建议：评估电极片连接情况和患者心电图，以确定是否需要除颤；</w:t>
      </w:r>
    </w:p>
    <w:p w14:paraId="2DB77DB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在CPR状态下，设备具有CPR节拍器功能，按照AHA/ERC推荐的频率对病人实施胸部按压，并进行通气；</w:t>
      </w:r>
    </w:p>
    <w:p w14:paraId="456933E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节拍器频率：40cpm～160cpm可变，提供产品使用说明书证明材料；</w:t>
      </w:r>
    </w:p>
    <w:p w14:paraId="21E25F1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4</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可</w:t>
      </w:r>
      <w:r>
        <w:rPr>
          <w:rFonts w:hint="eastAsia" w:ascii="宋体" w:hAnsi="宋体" w:eastAsia="宋体" w:cs="Times New Roman"/>
          <w:color w:val="auto"/>
          <w:sz w:val="24"/>
          <w:highlight w:val="none"/>
        </w:rPr>
        <w:t>配心肺复苏传感器，提供实时按压质量反馈，显示深度、回弹等数据；</w:t>
      </w:r>
    </w:p>
    <w:p w14:paraId="090558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5</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深度：0～8cm，提供产品使用说明书证明材料；</w:t>
      </w:r>
    </w:p>
    <w:p w14:paraId="37CE26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4</w:t>
      </w:r>
      <w:r>
        <w:rPr>
          <w:rFonts w:hint="eastAsia" w:ascii="宋体" w:hAnsi="宋体" w:eastAsia="宋体" w:cs="Times New Roman"/>
          <w:color w:val="auto"/>
          <w:sz w:val="24"/>
          <w:highlight w:val="none"/>
          <w:lang w:val="en-US" w:eastAsia="zh-CN"/>
        </w:rPr>
        <w:t>．</w:t>
      </w:r>
      <w:r>
        <w:rPr>
          <w:rFonts w:hint="eastAsia" w:ascii="宋体" w:hAnsi="宋体" w:eastAsia="宋体" w:cs="Times New Roman"/>
          <w:color w:val="auto"/>
          <w:sz w:val="24"/>
          <w:highlight w:val="none"/>
        </w:rPr>
        <w:t>除颤电极片：</w:t>
      </w:r>
    </w:p>
    <w:p w14:paraId="09BFCA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1</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有效期：≥5年，提供电极片实物图片；</w:t>
      </w:r>
    </w:p>
    <w:p w14:paraId="03DB25E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kern w:val="2"/>
          <w:sz w:val="24"/>
          <w:szCs w:val="24"/>
          <w:highlight w:val="none"/>
          <w:lang w:val="en-US" w:eastAsia="zh-CN" w:bidi="ar-SA"/>
        </w:rPr>
        <w:t>（2）</w:t>
      </w:r>
      <w:r>
        <w:rPr>
          <w:rFonts w:hint="eastAsia" w:ascii="宋体" w:hAnsi="宋体" w:eastAsia="宋体" w:cs="Times New Roman"/>
          <w:color w:val="auto"/>
          <w:sz w:val="24"/>
          <w:highlight w:val="none"/>
        </w:rPr>
        <w:t>在待机状态，电极片与主机预先连接，节省了开机后插入电极片步骤，提高抢救效率；</w:t>
      </w:r>
    </w:p>
    <w:p w14:paraId="28178C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具有电极片粘贴方式示意图；</w:t>
      </w:r>
    </w:p>
    <w:p w14:paraId="46D38C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4</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粘贴电极片时根据施救者响应速度，智能提示长短不同的语音信息。电极片连接异常时有语音提示；</w:t>
      </w:r>
    </w:p>
    <w:p w14:paraId="0ABB033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5</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具有电极片连接状态自检功能和报警提示；</w:t>
      </w:r>
    </w:p>
    <w:p w14:paraId="7BB196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6</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可自动识别电极片，并根据电极片类型自动选择对应的除颤能量；</w:t>
      </w:r>
    </w:p>
    <w:p w14:paraId="21FBF7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7</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可识别电极片有效期，检测到电极片快过期时给出报警提示；</w:t>
      </w:r>
    </w:p>
    <w:p w14:paraId="7B3C93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8</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电极片按压反馈功能：设备可监测按压频率，当按压频率不规范时，可提供反馈；</w:t>
      </w:r>
    </w:p>
    <w:p w14:paraId="60894E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rPr>
        <w:t>5</w:t>
      </w:r>
      <w:r>
        <w:rPr>
          <w:rFonts w:hint="eastAsia" w:ascii="宋体" w:hAnsi="宋体" w:eastAsia="宋体" w:cs="Times New Roman"/>
          <w:color w:val="auto"/>
          <w:sz w:val="24"/>
          <w:highlight w:val="none"/>
          <w:lang w:val="en-US" w:eastAsia="zh-CN"/>
        </w:rPr>
        <w:t>．</w:t>
      </w:r>
      <w:r>
        <w:rPr>
          <w:rFonts w:hint="eastAsia" w:ascii="宋体" w:hAnsi="宋体" w:eastAsia="宋体" w:cs="Times New Roman"/>
          <w:color w:val="auto"/>
          <w:sz w:val="24"/>
          <w:highlight w:val="none"/>
        </w:rPr>
        <w:t>电池：</w:t>
      </w:r>
    </w:p>
    <w:p w14:paraId="4C26D1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1</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在室温温度环境下，电池有效期≥5年，提供电池标签实物图；</w:t>
      </w:r>
    </w:p>
    <w:p w14:paraId="0A26E5E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 xml:space="preserve"> 至少可支持350次200J除颤治疗或200次360J除颤治疗，提供产品使用说明书证明材料；</w:t>
      </w:r>
    </w:p>
    <w:p w14:paraId="004EF80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可检测电池低电量并给出报警提示，低电量报警后至少还可支持10次200J除颤充放电；</w:t>
      </w:r>
    </w:p>
    <w:p w14:paraId="312D2F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5</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提供≥4200mAh一次性免维护电池，可选配≥6200mAh一次性免维护电池，提供产品使用说明书证明材料；</w:t>
      </w:r>
    </w:p>
    <w:p w14:paraId="18D6ED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rPr>
        <w:t>5</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操作：</w:t>
      </w:r>
    </w:p>
    <w:p w14:paraId="353584C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1</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根据环境噪音强度自动调节语音播放音量，适应嘈杂环境下使用；</w:t>
      </w:r>
    </w:p>
    <w:p w14:paraId="45C462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具有中英文双语支持，包括界面显示和语音提示，可一键快速切换中英文；</w:t>
      </w:r>
    </w:p>
    <w:p w14:paraId="0798B9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成人/儿童患者类型可快速切换；</w:t>
      </w:r>
    </w:p>
    <w:p w14:paraId="35354C3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4</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设备支持开盖开机，为避免误操作，设备主机操作面板上，操作按键数量≤3个，提供机器操作面板实物图证明；</w:t>
      </w:r>
    </w:p>
    <w:p w14:paraId="59C7B1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rPr>
        <w:t>6</w:t>
      </w:r>
      <w:r>
        <w:rPr>
          <w:rFonts w:hint="eastAsia" w:ascii="宋体" w:hAnsi="宋体" w:eastAsia="宋体" w:cs="Times New Roman"/>
          <w:color w:val="auto"/>
          <w:sz w:val="24"/>
          <w:highlight w:val="none"/>
          <w:lang w:val="en-US" w:eastAsia="zh-CN"/>
        </w:rPr>
        <w:t>．</w:t>
      </w:r>
      <w:r>
        <w:rPr>
          <w:rFonts w:hint="eastAsia" w:ascii="宋体" w:hAnsi="宋体" w:eastAsia="宋体" w:cs="Times New Roman"/>
          <w:color w:val="auto"/>
          <w:sz w:val="24"/>
          <w:highlight w:val="none"/>
        </w:rPr>
        <w:t>数据传输和存储：</w:t>
      </w:r>
    </w:p>
    <w:p w14:paraId="05999E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1</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设备的内部存储容量不小于1GB，可存储至少1000份自检报告；</w:t>
      </w:r>
    </w:p>
    <w:p w14:paraId="447F2B4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具备录音功能，可保存≥60分钟抢救现场录音；</w:t>
      </w:r>
    </w:p>
    <w:p w14:paraId="723189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可存储抢救记录数据，ECG波形数据、事件数据、录音数据、急救数据（包括急救时间、CPR 持续时间、放电次数、除颤能量等）；</w:t>
      </w:r>
    </w:p>
    <w:p w14:paraId="3385E34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4</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支持USB接口，可通过外部USB闪存设备导出抢救记录数据；</w:t>
      </w:r>
    </w:p>
    <w:p w14:paraId="761D96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5</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支持车载，直升机和固定翼飞机环境使用；</w:t>
      </w:r>
    </w:p>
    <w:p w14:paraId="0FD5DB4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rPr>
        <w:t>7</w:t>
      </w:r>
      <w:r>
        <w:rPr>
          <w:rFonts w:hint="eastAsia" w:ascii="宋体" w:hAnsi="宋体" w:eastAsia="宋体" w:cs="Times New Roman"/>
          <w:color w:val="auto"/>
          <w:sz w:val="24"/>
          <w:highlight w:val="none"/>
          <w:lang w:val="en-US" w:eastAsia="zh-CN"/>
        </w:rPr>
        <w:t>．</w:t>
      </w:r>
      <w:r>
        <w:rPr>
          <w:rFonts w:hint="eastAsia" w:ascii="宋体" w:hAnsi="宋体" w:eastAsia="宋体" w:cs="Times New Roman"/>
          <w:color w:val="auto"/>
          <w:sz w:val="24"/>
          <w:highlight w:val="none"/>
        </w:rPr>
        <w:t>设备维护与自检：</w:t>
      </w:r>
    </w:p>
    <w:p w14:paraId="5E01723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1</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具备自检功能：具有开机自检、每天自检、每月、每季度自检功能；</w:t>
      </w:r>
    </w:p>
    <w:p w14:paraId="5DEEB2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2</w:t>
      </w:r>
      <w:r>
        <w:rPr>
          <w:rFonts w:hint="eastAsia" w:ascii="宋体" w:hAnsi="宋体" w:eastAsia="宋体" w:cs="Times New Roman"/>
          <w:color w:val="auto"/>
          <w:sz w:val="24"/>
          <w:highlight w:val="none"/>
          <w:lang w:eastAsia="zh-CN"/>
        </w:rPr>
        <w:t>）自检内容包括控制模块、电极片失效日期、治疗模块、电源模块、1J放电、360J放电、喇叭等多项检测，提供使用说明书证明材料；</w:t>
      </w:r>
    </w:p>
    <w:p w14:paraId="3386BB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lang w:val="en-US" w:eastAsia="zh-CN"/>
        </w:rPr>
        <w:t>3</w:t>
      </w:r>
      <w:r>
        <w:rPr>
          <w:rFonts w:hint="eastAsia" w:ascii="宋体" w:hAnsi="宋体" w:eastAsia="宋体" w:cs="Times New Roman"/>
          <w:color w:val="auto"/>
          <w:sz w:val="24"/>
          <w:highlight w:val="none"/>
          <w:lang w:eastAsia="zh-CN"/>
        </w:rPr>
        <w:t>）提供设备状态指示灯：根据自检结果，红灯/绿灯彩色显示设备状态。</w:t>
      </w:r>
    </w:p>
    <w:p w14:paraId="111F57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color w:val="auto"/>
          <w:highlight w:val="none"/>
        </w:rPr>
      </w:pPr>
      <w:r>
        <w:rPr>
          <w:rFonts w:hint="eastAsia" w:ascii="宋体" w:hAnsi="宋体" w:eastAsia="宋体" w:cs="Times New Roman"/>
          <w:color w:val="auto"/>
          <w:sz w:val="24"/>
          <w:highlight w:val="none"/>
          <w:lang w:val="en-US" w:eastAsia="zh-CN"/>
        </w:rPr>
        <w:t>8.投标人须列出详</w:t>
      </w:r>
      <w:r>
        <w:rPr>
          <w:rFonts w:hint="eastAsia" w:ascii="宋体" w:hAnsi="宋体" w:eastAsia="宋体" w:cs="Times New Roman"/>
          <w:b w:val="0"/>
          <w:bCs w:val="0"/>
          <w:color w:val="auto"/>
          <w:sz w:val="24"/>
          <w:highlight w:val="none"/>
          <w:lang w:val="en-US" w:eastAsia="zh-CN"/>
        </w:rPr>
        <w:t>细配置清单</w:t>
      </w:r>
    </w:p>
    <w:p w14:paraId="40BD9823">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52F51E31">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5C85FA6C">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356D9ED5">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2A0B11E2">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01F0CD53">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4B9AF285">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491AE25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4B736F1F">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2702E6B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530D7274">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64240E93">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665688D2">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6DBF3E3C">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1EB2DE91">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0147AD68">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12860F26">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0E9E456D">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49C7B871">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75B3C8A2">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bookmarkStart w:id="0" w:name="_GoBack"/>
      <w:bookmarkEnd w:id="0"/>
    </w:p>
    <w:p w14:paraId="4AB5BF4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附件2：  技术参数偏离表 </w:t>
      </w:r>
    </w:p>
    <w:p w14:paraId="30C30FA6">
      <w:pPr>
        <w:rPr>
          <w:rFonts w:hint="eastAsia"/>
          <w:sz w:val="24"/>
          <w:szCs w:val="24"/>
        </w:rPr>
      </w:pPr>
      <w:r>
        <w:rPr>
          <w:rFonts w:hint="eastAsia"/>
          <w:sz w:val="24"/>
          <w:szCs w:val="24"/>
          <w:lang w:val="en-US" w:eastAsia="zh-CN"/>
        </w:rPr>
        <w:t xml:space="preserve">请各供应商根据所投产品参数，对照采购技术参数要求认真、逐项、如实填写                                </w:t>
      </w:r>
      <w:r>
        <w:rPr>
          <w:rFonts w:hint="eastAsia"/>
          <w:sz w:val="24"/>
          <w:szCs w:val="24"/>
        </w:rPr>
        <w:t xml:space="preserve">                    </w:t>
      </w:r>
    </w:p>
    <w:tbl>
      <w:tblPr>
        <w:tblStyle w:val="11"/>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06"/>
        <w:gridCol w:w="3900"/>
        <w:gridCol w:w="1284"/>
      </w:tblGrid>
      <w:tr w14:paraId="2470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81" w:type="dxa"/>
            <w:vAlign w:val="center"/>
          </w:tcPr>
          <w:p w14:paraId="29C13267">
            <w:pPr>
              <w:rPr>
                <w:rFonts w:hint="eastAsia"/>
                <w:sz w:val="24"/>
                <w:szCs w:val="24"/>
              </w:rPr>
            </w:pPr>
            <w:r>
              <w:rPr>
                <w:rFonts w:hint="eastAsia"/>
                <w:sz w:val="24"/>
                <w:szCs w:val="24"/>
              </w:rPr>
              <w:t>序号</w:t>
            </w:r>
          </w:p>
        </w:tc>
        <w:tc>
          <w:tcPr>
            <w:tcW w:w="3206" w:type="dxa"/>
            <w:vAlign w:val="center"/>
          </w:tcPr>
          <w:p w14:paraId="3341E640">
            <w:pPr>
              <w:rPr>
                <w:rFonts w:hint="eastAsia" w:eastAsiaTheme="minorEastAsia"/>
                <w:sz w:val="24"/>
                <w:szCs w:val="24"/>
                <w:lang w:eastAsia="zh-CN"/>
              </w:rPr>
            </w:pPr>
            <w:r>
              <w:rPr>
                <w:rFonts w:hint="eastAsia"/>
                <w:sz w:val="24"/>
                <w:szCs w:val="24"/>
                <w:lang w:eastAsia="zh-CN"/>
              </w:rPr>
              <w:t>采购技术参数要求</w:t>
            </w:r>
          </w:p>
        </w:tc>
        <w:tc>
          <w:tcPr>
            <w:tcW w:w="3900" w:type="dxa"/>
            <w:vAlign w:val="center"/>
          </w:tcPr>
          <w:p w14:paraId="7D79BC2B">
            <w:pPr>
              <w:rPr>
                <w:rFonts w:hint="eastAsia"/>
                <w:sz w:val="24"/>
                <w:szCs w:val="24"/>
              </w:rPr>
            </w:pPr>
            <w:r>
              <w:rPr>
                <w:rFonts w:hint="eastAsia"/>
                <w:sz w:val="24"/>
                <w:szCs w:val="24"/>
              </w:rPr>
              <w:t>投标文件</w:t>
            </w:r>
            <w:r>
              <w:rPr>
                <w:rFonts w:hint="eastAsia"/>
                <w:sz w:val="24"/>
                <w:szCs w:val="24"/>
                <w:lang w:eastAsia="zh-CN"/>
              </w:rPr>
              <w:t>技术</w:t>
            </w:r>
            <w:r>
              <w:rPr>
                <w:rFonts w:hint="eastAsia"/>
                <w:sz w:val="24"/>
                <w:szCs w:val="24"/>
              </w:rPr>
              <w:t>响应</w:t>
            </w:r>
          </w:p>
        </w:tc>
        <w:tc>
          <w:tcPr>
            <w:tcW w:w="1284" w:type="dxa"/>
            <w:vAlign w:val="center"/>
          </w:tcPr>
          <w:p w14:paraId="2E479ADF">
            <w:pPr>
              <w:rPr>
                <w:rFonts w:hint="eastAsia"/>
                <w:sz w:val="24"/>
                <w:szCs w:val="24"/>
              </w:rPr>
            </w:pPr>
            <w:r>
              <w:rPr>
                <w:rFonts w:hint="eastAsia"/>
                <w:sz w:val="24"/>
                <w:szCs w:val="24"/>
              </w:rPr>
              <w:t>偏离</w:t>
            </w:r>
            <w:r>
              <w:rPr>
                <w:rFonts w:hint="eastAsia"/>
                <w:sz w:val="24"/>
                <w:szCs w:val="24"/>
                <w:lang w:eastAsia="zh-CN"/>
              </w:rPr>
              <w:t>概述</w:t>
            </w:r>
          </w:p>
        </w:tc>
      </w:tr>
      <w:tr w14:paraId="1F5F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2CE810">
            <w:pPr>
              <w:rPr>
                <w:rFonts w:hint="eastAsia"/>
                <w:sz w:val="24"/>
                <w:szCs w:val="24"/>
                <w:lang w:val="en-US" w:eastAsia="zh-CN"/>
              </w:rPr>
            </w:pPr>
            <w:r>
              <w:rPr>
                <w:rFonts w:hint="eastAsia"/>
                <w:sz w:val="24"/>
                <w:szCs w:val="24"/>
                <w:lang w:val="en-US" w:eastAsia="zh-CN"/>
              </w:rPr>
              <w:t>1</w:t>
            </w:r>
          </w:p>
        </w:tc>
        <w:tc>
          <w:tcPr>
            <w:tcW w:w="3206" w:type="dxa"/>
            <w:vAlign w:val="center"/>
          </w:tcPr>
          <w:p w14:paraId="59B370F8">
            <w:pPr>
              <w:rPr>
                <w:rFonts w:hint="eastAsia"/>
                <w:sz w:val="24"/>
                <w:szCs w:val="24"/>
              </w:rPr>
            </w:pPr>
          </w:p>
        </w:tc>
        <w:tc>
          <w:tcPr>
            <w:tcW w:w="3900" w:type="dxa"/>
            <w:vAlign w:val="center"/>
          </w:tcPr>
          <w:p w14:paraId="79203686">
            <w:pPr>
              <w:rPr>
                <w:rFonts w:hint="eastAsia"/>
                <w:sz w:val="24"/>
                <w:szCs w:val="24"/>
              </w:rPr>
            </w:pPr>
          </w:p>
        </w:tc>
        <w:tc>
          <w:tcPr>
            <w:tcW w:w="1284" w:type="dxa"/>
            <w:vAlign w:val="top"/>
          </w:tcPr>
          <w:p w14:paraId="3AFB8917">
            <w:pPr>
              <w:rPr>
                <w:rFonts w:hint="eastAsia"/>
                <w:sz w:val="24"/>
                <w:szCs w:val="24"/>
              </w:rPr>
            </w:pPr>
          </w:p>
        </w:tc>
      </w:tr>
      <w:tr w14:paraId="6497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3F71944A">
            <w:pPr>
              <w:rPr>
                <w:rFonts w:hint="eastAsia"/>
                <w:sz w:val="24"/>
                <w:szCs w:val="24"/>
                <w:lang w:val="en-US" w:eastAsia="zh-CN"/>
              </w:rPr>
            </w:pPr>
            <w:r>
              <w:rPr>
                <w:rFonts w:hint="eastAsia"/>
                <w:sz w:val="24"/>
                <w:szCs w:val="24"/>
                <w:lang w:val="en-US" w:eastAsia="zh-CN"/>
              </w:rPr>
              <w:t>2</w:t>
            </w:r>
          </w:p>
        </w:tc>
        <w:tc>
          <w:tcPr>
            <w:tcW w:w="3206" w:type="dxa"/>
            <w:vAlign w:val="center"/>
          </w:tcPr>
          <w:p w14:paraId="706C36A2">
            <w:pPr>
              <w:rPr>
                <w:rFonts w:hint="eastAsia"/>
                <w:sz w:val="24"/>
                <w:szCs w:val="24"/>
              </w:rPr>
            </w:pPr>
          </w:p>
        </w:tc>
        <w:tc>
          <w:tcPr>
            <w:tcW w:w="3900" w:type="dxa"/>
            <w:vAlign w:val="center"/>
          </w:tcPr>
          <w:p w14:paraId="7BACB9FB">
            <w:pPr>
              <w:rPr>
                <w:rFonts w:hint="eastAsia"/>
                <w:sz w:val="24"/>
                <w:szCs w:val="24"/>
              </w:rPr>
            </w:pPr>
          </w:p>
        </w:tc>
        <w:tc>
          <w:tcPr>
            <w:tcW w:w="1284" w:type="dxa"/>
            <w:vAlign w:val="top"/>
          </w:tcPr>
          <w:p w14:paraId="48C27F0A">
            <w:pPr>
              <w:rPr>
                <w:rFonts w:hint="eastAsia"/>
                <w:sz w:val="24"/>
                <w:szCs w:val="24"/>
              </w:rPr>
            </w:pPr>
          </w:p>
        </w:tc>
      </w:tr>
      <w:tr w14:paraId="0D7A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C5818B">
            <w:pPr>
              <w:rPr>
                <w:rFonts w:hint="eastAsia"/>
                <w:sz w:val="24"/>
                <w:szCs w:val="24"/>
                <w:lang w:val="en-US" w:eastAsia="zh-CN"/>
              </w:rPr>
            </w:pPr>
            <w:r>
              <w:rPr>
                <w:rFonts w:hint="eastAsia"/>
                <w:sz w:val="24"/>
                <w:szCs w:val="24"/>
                <w:lang w:val="en-US" w:eastAsia="zh-CN"/>
              </w:rPr>
              <w:t>3</w:t>
            </w:r>
          </w:p>
        </w:tc>
        <w:tc>
          <w:tcPr>
            <w:tcW w:w="3206" w:type="dxa"/>
            <w:vAlign w:val="center"/>
          </w:tcPr>
          <w:p w14:paraId="5A8D8785">
            <w:pPr>
              <w:rPr>
                <w:rFonts w:hint="eastAsia"/>
                <w:sz w:val="24"/>
                <w:szCs w:val="24"/>
              </w:rPr>
            </w:pPr>
          </w:p>
        </w:tc>
        <w:tc>
          <w:tcPr>
            <w:tcW w:w="3900" w:type="dxa"/>
            <w:vAlign w:val="center"/>
          </w:tcPr>
          <w:p w14:paraId="64C7B59A">
            <w:pPr>
              <w:rPr>
                <w:rFonts w:hint="eastAsia"/>
                <w:sz w:val="24"/>
                <w:szCs w:val="24"/>
              </w:rPr>
            </w:pPr>
          </w:p>
        </w:tc>
        <w:tc>
          <w:tcPr>
            <w:tcW w:w="1284" w:type="dxa"/>
            <w:vAlign w:val="top"/>
          </w:tcPr>
          <w:p w14:paraId="30652A5D">
            <w:pPr>
              <w:rPr>
                <w:rFonts w:hint="eastAsia"/>
                <w:sz w:val="24"/>
                <w:szCs w:val="24"/>
              </w:rPr>
            </w:pPr>
          </w:p>
        </w:tc>
      </w:tr>
      <w:tr w14:paraId="378A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39D232C">
            <w:pPr>
              <w:rPr>
                <w:rFonts w:hint="eastAsia"/>
                <w:sz w:val="24"/>
                <w:szCs w:val="24"/>
                <w:lang w:val="en-US" w:eastAsia="zh-CN"/>
              </w:rPr>
            </w:pPr>
            <w:r>
              <w:rPr>
                <w:rFonts w:hint="eastAsia"/>
                <w:sz w:val="24"/>
                <w:szCs w:val="24"/>
                <w:lang w:val="en-US" w:eastAsia="zh-CN"/>
              </w:rPr>
              <w:t>...</w:t>
            </w:r>
          </w:p>
        </w:tc>
        <w:tc>
          <w:tcPr>
            <w:tcW w:w="3206" w:type="dxa"/>
            <w:vAlign w:val="center"/>
          </w:tcPr>
          <w:p w14:paraId="42A35F95">
            <w:pPr>
              <w:rPr>
                <w:rFonts w:hint="eastAsia"/>
                <w:sz w:val="24"/>
                <w:szCs w:val="24"/>
              </w:rPr>
            </w:pPr>
          </w:p>
        </w:tc>
        <w:tc>
          <w:tcPr>
            <w:tcW w:w="3900" w:type="dxa"/>
            <w:vAlign w:val="center"/>
          </w:tcPr>
          <w:p w14:paraId="3DB14D30">
            <w:pPr>
              <w:rPr>
                <w:rFonts w:hint="eastAsia"/>
                <w:sz w:val="24"/>
                <w:szCs w:val="24"/>
              </w:rPr>
            </w:pPr>
          </w:p>
        </w:tc>
        <w:tc>
          <w:tcPr>
            <w:tcW w:w="1284" w:type="dxa"/>
            <w:vAlign w:val="top"/>
          </w:tcPr>
          <w:p w14:paraId="74D37751">
            <w:pPr>
              <w:rPr>
                <w:rFonts w:hint="eastAsia"/>
                <w:sz w:val="24"/>
                <w:szCs w:val="24"/>
              </w:rPr>
            </w:pPr>
          </w:p>
        </w:tc>
      </w:tr>
      <w:tr w14:paraId="48C1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E2AAB9B">
            <w:pPr>
              <w:rPr>
                <w:rFonts w:hint="eastAsia"/>
                <w:sz w:val="24"/>
                <w:szCs w:val="24"/>
                <w:lang w:val="en-US" w:eastAsia="zh-CN"/>
              </w:rPr>
            </w:pPr>
          </w:p>
        </w:tc>
        <w:tc>
          <w:tcPr>
            <w:tcW w:w="3206" w:type="dxa"/>
            <w:vAlign w:val="center"/>
          </w:tcPr>
          <w:p w14:paraId="3A98A174">
            <w:pPr>
              <w:rPr>
                <w:rFonts w:hint="eastAsia"/>
                <w:sz w:val="24"/>
                <w:szCs w:val="24"/>
              </w:rPr>
            </w:pPr>
          </w:p>
        </w:tc>
        <w:tc>
          <w:tcPr>
            <w:tcW w:w="3900" w:type="dxa"/>
            <w:vAlign w:val="center"/>
          </w:tcPr>
          <w:p w14:paraId="33F341CD">
            <w:pPr>
              <w:rPr>
                <w:rFonts w:hint="eastAsia"/>
                <w:sz w:val="24"/>
                <w:szCs w:val="24"/>
              </w:rPr>
            </w:pPr>
          </w:p>
        </w:tc>
        <w:tc>
          <w:tcPr>
            <w:tcW w:w="1284" w:type="dxa"/>
            <w:vAlign w:val="top"/>
          </w:tcPr>
          <w:p w14:paraId="2183A883">
            <w:pPr>
              <w:rPr>
                <w:rFonts w:hint="eastAsia"/>
                <w:sz w:val="24"/>
                <w:szCs w:val="24"/>
              </w:rPr>
            </w:pPr>
          </w:p>
        </w:tc>
      </w:tr>
    </w:tbl>
    <w:p w14:paraId="7BF6AF28">
      <w:pPr>
        <w:rPr>
          <w:rFonts w:hint="eastAsia"/>
          <w:sz w:val="24"/>
          <w:szCs w:val="24"/>
        </w:rPr>
      </w:pPr>
      <w:r>
        <w:rPr>
          <w:rFonts w:hint="eastAsia"/>
          <w:sz w:val="24"/>
          <w:szCs w:val="24"/>
        </w:rPr>
        <w:t>注：1.表格中“偏离”一列，投标人只能如实填写“正偏离”、“负偏离”或“无偏离”。凡投标内容高于招标文件要求的，按“正偏离”填写；低于招标文件要求的，按“负偏离”填写；满足招标文件要求的，按“无偏离”填写。并在“投标文件</w:t>
      </w:r>
      <w:r>
        <w:rPr>
          <w:rFonts w:hint="eastAsia"/>
          <w:sz w:val="24"/>
          <w:szCs w:val="24"/>
          <w:lang w:eastAsia="zh-CN"/>
        </w:rPr>
        <w:t>技术</w:t>
      </w:r>
      <w:r>
        <w:rPr>
          <w:rFonts w:hint="eastAsia"/>
          <w:sz w:val="24"/>
          <w:szCs w:val="24"/>
        </w:rPr>
        <w:t>响应</w:t>
      </w:r>
      <w:r>
        <w:rPr>
          <w:rFonts w:hint="eastAsia"/>
          <w:sz w:val="24"/>
          <w:szCs w:val="24"/>
          <w:lang w:eastAsia="zh-CN"/>
        </w:rPr>
        <w:t>栏</w:t>
      </w:r>
      <w:r>
        <w:rPr>
          <w:rFonts w:hint="eastAsia"/>
          <w:sz w:val="24"/>
          <w:szCs w:val="24"/>
        </w:rPr>
        <w:t>”一列中写明技术参数。</w:t>
      </w:r>
    </w:p>
    <w:p w14:paraId="7CBCAD54">
      <w:pPr>
        <w:rPr>
          <w:rFonts w:hint="eastAsia"/>
          <w:sz w:val="24"/>
          <w:szCs w:val="24"/>
          <w:lang w:eastAsia="zh-CN"/>
        </w:rPr>
      </w:pPr>
      <w:r>
        <w:rPr>
          <w:rFonts w:hint="eastAsia"/>
          <w:sz w:val="24"/>
          <w:szCs w:val="24"/>
          <w:lang w:val="en-US" w:eastAsia="zh-CN"/>
        </w:rPr>
        <w:t>2.</w:t>
      </w:r>
      <w:r>
        <w:rPr>
          <w:rFonts w:hint="eastAsia"/>
          <w:sz w:val="24"/>
          <w:szCs w:val="24"/>
        </w:rPr>
        <w:t>序号应对应该产品在</w:t>
      </w:r>
      <w:r>
        <w:rPr>
          <w:rFonts w:hint="eastAsia"/>
          <w:sz w:val="24"/>
          <w:szCs w:val="24"/>
          <w:lang w:eastAsia="zh-CN"/>
        </w:rPr>
        <w:t>技术参数中的序号。</w:t>
      </w:r>
    </w:p>
    <w:p w14:paraId="08A002C9">
      <w:pPr>
        <w:rPr>
          <w:rFonts w:hint="eastAsia"/>
          <w:sz w:val="24"/>
          <w:szCs w:val="24"/>
          <w:lang w:val="en-US" w:eastAsia="zh-CN"/>
        </w:rPr>
      </w:pPr>
      <w:r>
        <w:rPr>
          <w:rFonts w:hint="eastAsia"/>
          <w:sz w:val="24"/>
          <w:szCs w:val="24"/>
          <w:lang w:val="en-US" w:eastAsia="zh-CN"/>
        </w:rPr>
        <w:t>3.供应商所供的参数信息必须要与设备技术支持资料（包括投标产品技术白皮书或检测报告或图纸或印刷宣传彩页或性能参数说明等）一致，后附产品技术资料，不提供又无法证明相关参数的按照不响应/负偏离处理。</w:t>
      </w:r>
    </w:p>
    <w:p w14:paraId="7E89E036">
      <w:pPr>
        <w:pStyle w:val="4"/>
        <w:rPr>
          <w:rFonts w:hint="default"/>
          <w:lang w:val="en-US" w:eastAsia="zh-CN"/>
        </w:rPr>
      </w:pPr>
      <w:r>
        <w:rPr>
          <w:rFonts w:hint="eastAsia"/>
          <w:sz w:val="24"/>
          <w:szCs w:val="24"/>
          <w:lang w:val="en-US" w:eastAsia="zh-CN"/>
        </w:rPr>
        <w:t>4.技术响应栏中经院内评审专家组认定完全复制采购技术参数要求的给予扣减技术分处理。</w:t>
      </w:r>
    </w:p>
    <w:p w14:paraId="6FD73C96">
      <w:pPr>
        <w:rPr>
          <w:rFonts w:hint="default"/>
          <w:sz w:val="24"/>
          <w:szCs w:val="24"/>
          <w:lang w:val="en-US" w:eastAsia="zh-CN"/>
        </w:rPr>
      </w:pPr>
    </w:p>
    <w:sectPr>
      <w:footerReference r:id="rId3" w:type="default"/>
      <w:pgSz w:w="11906" w:h="16838"/>
      <w:pgMar w:top="1440" w:right="1800" w:bottom="1440"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体">
    <w:altName w:val="宋体"/>
    <w:panose1 w:val="00000000000000000000"/>
    <w:charset w:val="86"/>
    <w:family w:val="roman"/>
    <w:pitch w:val="default"/>
    <w:sig w:usb0="00000000" w:usb1="00000000" w:usb2="00000010" w:usb3="00000000" w:csb0="00040000" w:csb1="00000000"/>
  </w:font>
  <w:font w:name="Akzidenz Grotesk">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2037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ZWM3MjU2ZDk1ZDRkZThkMmJiMjgyYzAyZWQ5MmUifQ=="/>
  </w:docVars>
  <w:rsids>
    <w:rsidRoot w:val="00000000"/>
    <w:rsid w:val="003B7292"/>
    <w:rsid w:val="00787F98"/>
    <w:rsid w:val="00CD6533"/>
    <w:rsid w:val="00D0703F"/>
    <w:rsid w:val="013562A6"/>
    <w:rsid w:val="015714B7"/>
    <w:rsid w:val="01C012ED"/>
    <w:rsid w:val="02386011"/>
    <w:rsid w:val="02994AAB"/>
    <w:rsid w:val="02B407A2"/>
    <w:rsid w:val="03380580"/>
    <w:rsid w:val="034743AA"/>
    <w:rsid w:val="03653EFA"/>
    <w:rsid w:val="03AC2332"/>
    <w:rsid w:val="03FB599B"/>
    <w:rsid w:val="042B4352"/>
    <w:rsid w:val="04AE3CF1"/>
    <w:rsid w:val="04EC232E"/>
    <w:rsid w:val="058C7E64"/>
    <w:rsid w:val="06722718"/>
    <w:rsid w:val="06960692"/>
    <w:rsid w:val="06A85DB8"/>
    <w:rsid w:val="07E52C0E"/>
    <w:rsid w:val="07F64C9D"/>
    <w:rsid w:val="08E73603"/>
    <w:rsid w:val="09033544"/>
    <w:rsid w:val="09A81DCC"/>
    <w:rsid w:val="09AA5655"/>
    <w:rsid w:val="09AF1269"/>
    <w:rsid w:val="09B36A79"/>
    <w:rsid w:val="09BF4116"/>
    <w:rsid w:val="09CF6571"/>
    <w:rsid w:val="09FD03CD"/>
    <w:rsid w:val="0A202361"/>
    <w:rsid w:val="0A261EDD"/>
    <w:rsid w:val="0A794FD5"/>
    <w:rsid w:val="0B6E6961"/>
    <w:rsid w:val="0B8918C0"/>
    <w:rsid w:val="0B9E10E6"/>
    <w:rsid w:val="0C864EE9"/>
    <w:rsid w:val="0D962476"/>
    <w:rsid w:val="0DB561B0"/>
    <w:rsid w:val="0DBB5599"/>
    <w:rsid w:val="0E3E3CC5"/>
    <w:rsid w:val="0E8C5784"/>
    <w:rsid w:val="0E987433"/>
    <w:rsid w:val="0EB44E7C"/>
    <w:rsid w:val="0F0F760B"/>
    <w:rsid w:val="0F4C094F"/>
    <w:rsid w:val="0F501DFB"/>
    <w:rsid w:val="0F68594A"/>
    <w:rsid w:val="0F971922"/>
    <w:rsid w:val="0F9D3BA8"/>
    <w:rsid w:val="108A31F2"/>
    <w:rsid w:val="10973067"/>
    <w:rsid w:val="11505A8C"/>
    <w:rsid w:val="11AD363C"/>
    <w:rsid w:val="11E319E8"/>
    <w:rsid w:val="11F56D91"/>
    <w:rsid w:val="12745DCC"/>
    <w:rsid w:val="127F2718"/>
    <w:rsid w:val="127F69C1"/>
    <w:rsid w:val="13082AF4"/>
    <w:rsid w:val="131B2827"/>
    <w:rsid w:val="134E0692"/>
    <w:rsid w:val="13C42DCA"/>
    <w:rsid w:val="13DF79E3"/>
    <w:rsid w:val="143348F1"/>
    <w:rsid w:val="144723BB"/>
    <w:rsid w:val="144B6567"/>
    <w:rsid w:val="14A00CFD"/>
    <w:rsid w:val="14D40570"/>
    <w:rsid w:val="1502719F"/>
    <w:rsid w:val="153076BC"/>
    <w:rsid w:val="15DE610C"/>
    <w:rsid w:val="170114A3"/>
    <w:rsid w:val="17CD4A58"/>
    <w:rsid w:val="1812384E"/>
    <w:rsid w:val="183E6103"/>
    <w:rsid w:val="18C27F36"/>
    <w:rsid w:val="19112B34"/>
    <w:rsid w:val="1915786F"/>
    <w:rsid w:val="19172FD4"/>
    <w:rsid w:val="193C248D"/>
    <w:rsid w:val="19507379"/>
    <w:rsid w:val="19CA417E"/>
    <w:rsid w:val="1A2F4FBB"/>
    <w:rsid w:val="1A4E3CEA"/>
    <w:rsid w:val="1AAD645B"/>
    <w:rsid w:val="1AE300CE"/>
    <w:rsid w:val="1B62258E"/>
    <w:rsid w:val="1B8A66F2"/>
    <w:rsid w:val="1BCA4F03"/>
    <w:rsid w:val="1C247518"/>
    <w:rsid w:val="1C6C40F3"/>
    <w:rsid w:val="1C7C7693"/>
    <w:rsid w:val="1C9814C8"/>
    <w:rsid w:val="1CBE3199"/>
    <w:rsid w:val="1D481ACE"/>
    <w:rsid w:val="1DB244A0"/>
    <w:rsid w:val="1DC65F93"/>
    <w:rsid w:val="1DDE1410"/>
    <w:rsid w:val="1ED25ACE"/>
    <w:rsid w:val="1EE050BB"/>
    <w:rsid w:val="1F9957E4"/>
    <w:rsid w:val="209163BA"/>
    <w:rsid w:val="20A226E2"/>
    <w:rsid w:val="215B11CC"/>
    <w:rsid w:val="217008B4"/>
    <w:rsid w:val="217D46AD"/>
    <w:rsid w:val="21872574"/>
    <w:rsid w:val="21AD0E6E"/>
    <w:rsid w:val="22600256"/>
    <w:rsid w:val="22873A35"/>
    <w:rsid w:val="22D55F01"/>
    <w:rsid w:val="232B509D"/>
    <w:rsid w:val="23352A9B"/>
    <w:rsid w:val="235F6A26"/>
    <w:rsid w:val="23716347"/>
    <w:rsid w:val="237F7C07"/>
    <w:rsid w:val="23C121D7"/>
    <w:rsid w:val="23DF164F"/>
    <w:rsid w:val="24653902"/>
    <w:rsid w:val="24AA7744"/>
    <w:rsid w:val="24BC64D8"/>
    <w:rsid w:val="24D170F2"/>
    <w:rsid w:val="24F84762"/>
    <w:rsid w:val="254F10C5"/>
    <w:rsid w:val="2554651B"/>
    <w:rsid w:val="255A35DF"/>
    <w:rsid w:val="256B67E8"/>
    <w:rsid w:val="257738D0"/>
    <w:rsid w:val="260B672B"/>
    <w:rsid w:val="26234D6B"/>
    <w:rsid w:val="269E4DFC"/>
    <w:rsid w:val="27385983"/>
    <w:rsid w:val="275E599B"/>
    <w:rsid w:val="27B9295C"/>
    <w:rsid w:val="2802122E"/>
    <w:rsid w:val="28BB710C"/>
    <w:rsid w:val="28C36618"/>
    <w:rsid w:val="292024ED"/>
    <w:rsid w:val="292D519A"/>
    <w:rsid w:val="29314BC6"/>
    <w:rsid w:val="297A286D"/>
    <w:rsid w:val="29AC0E2A"/>
    <w:rsid w:val="2A7A5C2D"/>
    <w:rsid w:val="2AAB5DE7"/>
    <w:rsid w:val="2AE04C1E"/>
    <w:rsid w:val="2AFA0628"/>
    <w:rsid w:val="2B0B72D2"/>
    <w:rsid w:val="2B4A3852"/>
    <w:rsid w:val="2B8B2D8F"/>
    <w:rsid w:val="2BD874D5"/>
    <w:rsid w:val="2C054FAA"/>
    <w:rsid w:val="2C196170"/>
    <w:rsid w:val="2C256D7F"/>
    <w:rsid w:val="2C433C58"/>
    <w:rsid w:val="2C4A4BF6"/>
    <w:rsid w:val="2C6B1A3D"/>
    <w:rsid w:val="2CC04905"/>
    <w:rsid w:val="2CCE2260"/>
    <w:rsid w:val="2D5D011A"/>
    <w:rsid w:val="2D7F46DC"/>
    <w:rsid w:val="2DDE4402"/>
    <w:rsid w:val="2DF813B3"/>
    <w:rsid w:val="2DFD217E"/>
    <w:rsid w:val="2E0616A0"/>
    <w:rsid w:val="2E444588"/>
    <w:rsid w:val="2E6518B8"/>
    <w:rsid w:val="2E9C6A27"/>
    <w:rsid w:val="2EA4226E"/>
    <w:rsid w:val="2EA7690B"/>
    <w:rsid w:val="2ED172C9"/>
    <w:rsid w:val="2EEE5C55"/>
    <w:rsid w:val="2F1241D9"/>
    <w:rsid w:val="2F311AC1"/>
    <w:rsid w:val="2F713AA3"/>
    <w:rsid w:val="2F7D2B49"/>
    <w:rsid w:val="2FA9048B"/>
    <w:rsid w:val="2FF81ACE"/>
    <w:rsid w:val="304F6FFA"/>
    <w:rsid w:val="30B44AD5"/>
    <w:rsid w:val="30DB68B2"/>
    <w:rsid w:val="312B554B"/>
    <w:rsid w:val="31331A23"/>
    <w:rsid w:val="316F012F"/>
    <w:rsid w:val="31821737"/>
    <w:rsid w:val="31CE7227"/>
    <w:rsid w:val="31DA47F8"/>
    <w:rsid w:val="32101599"/>
    <w:rsid w:val="32193C10"/>
    <w:rsid w:val="32703207"/>
    <w:rsid w:val="332835CD"/>
    <w:rsid w:val="333312F4"/>
    <w:rsid w:val="33672669"/>
    <w:rsid w:val="33E01DF8"/>
    <w:rsid w:val="340B4DA0"/>
    <w:rsid w:val="34374E66"/>
    <w:rsid w:val="34A376A5"/>
    <w:rsid w:val="34DB551B"/>
    <w:rsid w:val="367C2B72"/>
    <w:rsid w:val="36A232A8"/>
    <w:rsid w:val="36DA6FDC"/>
    <w:rsid w:val="37386C54"/>
    <w:rsid w:val="375A2153"/>
    <w:rsid w:val="38431D54"/>
    <w:rsid w:val="386A5533"/>
    <w:rsid w:val="38A24C9D"/>
    <w:rsid w:val="38BD773F"/>
    <w:rsid w:val="393D3B8F"/>
    <w:rsid w:val="39922270"/>
    <w:rsid w:val="39A10696"/>
    <w:rsid w:val="39CB146A"/>
    <w:rsid w:val="39E1749C"/>
    <w:rsid w:val="39F13012"/>
    <w:rsid w:val="3B3C6AF6"/>
    <w:rsid w:val="3B40257B"/>
    <w:rsid w:val="3B4E2A47"/>
    <w:rsid w:val="3B732951"/>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5127F1"/>
    <w:rsid w:val="3E5C5C81"/>
    <w:rsid w:val="3E727334"/>
    <w:rsid w:val="3E9F2C29"/>
    <w:rsid w:val="3EC040FF"/>
    <w:rsid w:val="3ECB17E2"/>
    <w:rsid w:val="3F454A0B"/>
    <w:rsid w:val="3F4C08E9"/>
    <w:rsid w:val="3F827B03"/>
    <w:rsid w:val="3F854EC4"/>
    <w:rsid w:val="3FAA774D"/>
    <w:rsid w:val="3FE5085E"/>
    <w:rsid w:val="4112321C"/>
    <w:rsid w:val="41150917"/>
    <w:rsid w:val="419A2C86"/>
    <w:rsid w:val="41CE293A"/>
    <w:rsid w:val="42071D7C"/>
    <w:rsid w:val="427C6F51"/>
    <w:rsid w:val="428A7CA7"/>
    <w:rsid w:val="42A938B9"/>
    <w:rsid w:val="42ED71CC"/>
    <w:rsid w:val="431755C1"/>
    <w:rsid w:val="4320244A"/>
    <w:rsid w:val="43332DC1"/>
    <w:rsid w:val="438C4C9D"/>
    <w:rsid w:val="43DE2931"/>
    <w:rsid w:val="44127414"/>
    <w:rsid w:val="4473407C"/>
    <w:rsid w:val="44A95BD0"/>
    <w:rsid w:val="44B70304"/>
    <w:rsid w:val="45E801BF"/>
    <w:rsid w:val="46B928C4"/>
    <w:rsid w:val="46C05002"/>
    <w:rsid w:val="47256E1A"/>
    <w:rsid w:val="47446360"/>
    <w:rsid w:val="477A0590"/>
    <w:rsid w:val="4782059D"/>
    <w:rsid w:val="47AB4CCE"/>
    <w:rsid w:val="483813B1"/>
    <w:rsid w:val="484014F3"/>
    <w:rsid w:val="484670E3"/>
    <w:rsid w:val="48635959"/>
    <w:rsid w:val="48EC0BD2"/>
    <w:rsid w:val="497974C2"/>
    <w:rsid w:val="49EF2906"/>
    <w:rsid w:val="4A1F206A"/>
    <w:rsid w:val="4A231462"/>
    <w:rsid w:val="4A8609D1"/>
    <w:rsid w:val="4AAB4E1B"/>
    <w:rsid w:val="4ABD2C0C"/>
    <w:rsid w:val="4ADA02F6"/>
    <w:rsid w:val="4AE66568"/>
    <w:rsid w:val="4B0D0D2F"/>
    <w:rsid w:val="4B4B6F42"/>
    <w:rsid w:val="4B7A7A40"/>
    <w:rsid w:val="4B8E031D"/>
    <w:rsid w:val="4C0736A1"/>
    <w:rsid w:val="4C07754B"/>
    <w:rsid w:val="4CA801EC"/>
    <w:rsid w:val="4CD31462"/>
    <w:rsid w:val="4CE104F0"/>
    <w:rsid w:val="4CFD744F"/>
    <w:rsid w:val="4D042B67"/>
    <w:rsid w:val="4D5A7B8E"/>
    <w:rsid w:val="4D744DC7"/>
    <w:rsid w:val="4D873A58"/>
    <w:rsid w:val="4E114AB8"/>
    <w:rsid w:val="4EB71776"/>
    <w:rsid w:val="4EF8301F"/>
    <w:rsid w:val="4F090A7F"/>
    <w:rsid w:val="4F0C2A48"/>
    <w:rsid w:val="4FA6716E"/>
    <w:rsid w:val="4FFB36E2"/>
    <w:rsid w:val="503A6DB9"/>
    <w:rsid w:val="51243FED"/>
    <w:rsid w:val="51955C85"/>
    <w:rsid w:val="521F6CC0"/>
    <w:rsid w:val="522307D5"/>
    <w:rsid w:val="5246001F"/>
    <w:rsid w:val="533F7D5C"/>
    <w:rsid w:val="53761F52"/>
    <w:rsid w:val="53793D61"/>
    <w:rsid w:val="537F312D"/>
    <w:rsid w:val="53A65056"/>
    <w:rsid w:val="541459BB"/>
    <w:rsid w:val="542B0E63"/>
    <w:rsid w:val="543751D9"/>
    <w:rsid w:val="547119CD"/>
    <w:rsid w:val="5494534F"/>
    <w:rsid w:val="54AD297B"/>
    <w:rsid w:val="54E72723"/>
    <w:rsid w:val="54EE422E"/>
    <w:rsid w:val="55264138"/>
    <w:rsid w:val="556B63D9"/>
    <w:rsid w:val="55DA4AD8"/>
    <w:rsid w:val="56236D58"/>
    <w:rsid w:val="56355E19"/>
    <w:rsid w:val="56635C45"/>
    <w:rsid w:val="567C7F33"/>
    <w:rsid w:val="56CA7F1C"/>
    <w:rsid w:val="572C3B4B"/>
    <w:rsid w:val="587B23B5"/>
    <w:rsid w:val="58955A9A"/>
    <w:rsid w:val="59126EAD"/>
    <w:rsid w:val="59543A60"/>
    <w:rsid w:val="596B6B02"/>
    <w:rsid w:val="5A6936F6"/>
    <w:rsid w:val="5AC256E3"/>
    <w:rsid w:val="5B4C3FAD"/>
    <w:rsid w:val="5B7416F2"/>
    <w:rsid w:val="5BA67527"/>
    <w:rsid w:val="5BD5206A"/>
    <w:rsid w:val="5C220234"/>
    <w:rsid w:val="5C6F0B07"/>
    <w:rsid w:val="5CB52C9E"/>
    <w:rsid w:val="5E3342AE"/>
    <w:rsid w:val="5F127CC1"/>
    <w:rsid w:val="5F874378"/>
    <w:rsid w:val="5FAE5865"/>
    <w:rsid w:val="5FE67C01"/>
    <w:rsid w:val="60380312"/>
    <w:rsid w:val="60656458"/>
    <w:rsid w:val="60782248"/>
    <w:rsid w:val="60930C3D"/>
    <w:rsid w:val="60B12766"/>
    <w:rsid w:val="60D07D7A"/>
    <w:rsid w:val="61700757"/>
    <w:rsid w:val="61832BCD"/>
    <w:rsid w:val="62264DAF"/>
    <w:rsid w:val="62B74D64"/>
    <w:rsid w:val="62DF24F6"/>
    <w:rsid w:val="63360097"/>
    <w:rsid w:val="6356208C"/>
    <w:rsid w:val="639D7A31"/>
    <w:rsid w:val="63A67712"/>
    <w:rsid w:val="63D17645"/>
    <w:rsid w:val="63DB5BE9"/>
    <w:rsid w:val="646D1D84"/>
    <w:rsid w:val="64C37BF6"/>
    <w:rsid w:val="64E763DA"/>
    <w:rsid w:val="64EC3684"/>
    <w:rsid w:val="651D7229"/>
    <w:rsid w:val="65730FB5"/>
    <w:rsid w:val="65D11305"/>
    <w:rsid w:val="65EC5F45"/>
    <w:rsid w:val="65F9227E"/>
    <w:rsid w:val="66245845"/>
    <w:rsid w:val="66644C16"/>
    <w:rsid w:val="66A8217D"/>
    <w:rsid w:val="66A92F3F"/>
    <w:rsid w:val="674A1135"/>
    <w:rsid w:val="678C2521"/>
    <w:rsid w:val="67D143D7"/>
    <w:rsid w:val="68D84368"/>
    <w:rsid w:val="690D71FD"/>
    <w:rsid w:val="691C1B4C"/>
    <w:rsid w:val="69295F26"/>
    <w:rsid w:val="698B4691"/>
    <w:rsid w:val="69CE0BCF"/>
    <w:rsid w:val="6A4E0007"/>
    <w:rsid w:val="6ACA1C13"/>
    <w:rsid w:val="6B1B367D"/>
    <w:rsid w:val="6B496ADE"/>
    <w:rsid w:val="6B5D1D8C"/>
    <w:rsid w:val="6B684F5B"/>
    <w:rsid w:val="6B7C24AE"/>
    <w:rsid w:val="6B8974A3"/>
    <w:rsid w:val="6BE26179"/>
    <w:rsid w:val="6C3B7F83"/>
    <w:rsid w:val="6C4C79B3"/>
    <w:rsid w:val="6C594C98"/>
    <w:rsid w:val="6CB12B8D"/>
    <w:rsid w:val="6CDF30F3"/>
    <w:rsid w:val="6D037D21"/>
    <w:rsid w:val="6D1E54BE"/>
    <w:rsid w:val="6D830F9A"/>
    <w:rsid w:val="6DEE4FCE"/>
    <w:rsid w:val="6E480CDA"/>
    <w:rsid w:val="6E815352"/>
    <w:rsid w:val="6E9B19E1"/>
    <w:rsid w:val="6EA63EC8"/>
    <w:rsid w:val="6EE92007"/>
    <w:rsid w:val="6EF957F8"/>
    <w:rsid w:val="6F3516F0"/>
    <w:rsid w:val="6F442878"/>
    <w:rsid w:val="702C6707"/>
    <w:rsid w:val="702F1E5E"/>
    <w:rsid w:val="70B556D8"/>
    <w:rsid w:val="70CB7D2F"/>
    <w:rsid w:val="718A247D"/>
    <w:rsid w:val="71A610C0"/>
    <w:rsid w:val="71D716B6"/>
    <w:rsid w:val="72A60FA2"/>
    <w:rsid w:val="72CC5EC7"/>
    <w:rsid w:val="733040C1"/>
    <w:rsid w:val="735A6C75"/>
    <w:rsid w:val="73AF3040"/>
    <w:rsid w:val="73F03D3A"/>
    <w:rsid w:val="74444BE3"/>
    <w:rsid w:val="74DA28B2"/>
    <w:rsid w:val="75495B09"/>
    <w:rsid w:val="75F8798C"/>
    <w:rsid w:val="765D7AEC"/>
    <w:rsid w:val="76687D3E"/>
    <w:rsid w:val="76AD62DD"/>
    <w:rsid w:val="76D106C0"/>
    <w:rsid w:val="76E00193"/>
    <w:rsid w:val="772207AC"/>
    <w:rsid w:val="777D2616"/>
    <w:rsid w:val="779A286B"/>
    <w:rsid w:val="77B62F9E"/>
    <w:rsid w:val="77C06439"/>
    <w:rsid w:val="77D07A57"/>
    <w:rsid w:val="782C7B34"/>
    <w:rsid w:val="7933792B"/>
    <w:rsid w:val="79545D46"/>
    <w:rsid w:val="795D6854"/>
    <w:rsid w:val="79715E8C"/>
    <w:rsid w:val="79D272E4"/>
    <w:rsid w:val="7A9674E6"/>
    <w:rsid w:val="7C8A307B"/>
    <w:rsid w:val="7CD17173"/>
    <w:rsid w:val="7D6A120B"/>
    <w:rsid w:val="7D7A30EF"/>
    <w:rsid w:val="7DA939D5"/>
    <w:rsid w:val="7DED493F"/>
    <w:rsid w:val="7E4757AA"/>
    <w:rsid w:val="7F3A459B"/>
    <w:rsid w:val="7FB64187"/>
    <w:rsid w:val="7FE00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99"/>
    <w:pPr>
      <w:widowControl/>
      <w:spacing w:after="160"/>
      <w:jc w:val="left"/>
    </w:pPr>
    <w:rPr>
      <w:rFonts w:ascii="仿宋体" w:eastAsia="仿宋体" w:cs="仿宋体"/>
      <w:kern w:val="0"/>
      <w:sz w:val="20"/>
      <w:szCs w:val="20"/>
      <w:lang w:eastAsia="en-US"/>
    </w:rPr>
  </w:style>
  <w:style w:type="paragraph" w:styleId="5">
    <w:name w:val="Body Text Indent"/>
    <w:basedOn w:val="1"/>
    <w:unhideWhenUsed/>
    <w:qFormat/>
    <w:uiPriority w:val="99"/>
    <w:pPr>
      <w:spacing w:after="120"/>
      <w:ind w:left="420" w:leftChars="200"/>
    </w:pPr>
  </w:style>
  <w:style w:type="paragraph" w:styleId="6">
    <w:name w:val="Plain Text"/>
    <w:basedOn w:val="1"/>
    <w:next w:val="1"/>
    <w:autoRedefine/>
    <w:qFormat/>
    <w:uiPriority w:val="99"/>
    <w:rPr>
      <w:rFonts w:ascii="宋体" w:hAnsi="Courier New" w:cs="宋体"/>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autoRedefine/>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autoRedefine/>
    <w:qFormat/>
    <w:uiPriority w:val="0"/>
    <w:rPr>
      <w:color w:val="0000FF"/>
      <w:u w:val="single"/>
    </w:rPr>
  </w:style>
  <w:style w:type="paragraph" w:customStyle="1" w:styleId="15">
    <w:name w:val="Default"/>
    <w:autoRedefine/>
    <w:qFormat/>
    <w:uiPriority w:val="0"/>
    <w:pPr>
      <w:widowControl w:val="0"/>
      <w:autoSpaceDE w:val="0"/>
      <w:autoSpaceDN w:val="0"/>
      <w:adjustRightInd w:val="0"/>
    </w:pPr>
    <w:rPr>
      <w:rFonts w:ascii="Akzidenz Grotesk" w:hAnsi="Times New Roman" w:eastAsia="Akzidenz Grotesk" w:cs="Times New Roman"/>
      <w:color w:val="000000"/>
      <w:sz w:val="24"/>
      <w:szCs w:val="24"/>
      <w:lang w:val="en-US" w:eastAsia="zh-CN" w:bidi="ar-SA"/>
    </w:rPr>
  </w:style>
  <w:style w:type="character" w:customStyle="1" w:styleId="16">
    <w:name w:val="font31"/>
    <w:basedOn w:val="13"/>
    <w:autoRedefine/>
    <w:qFormat/>
    <w:uiPriority w:val="0"/>
    <w:rPr>
      <w:rFonts w:hint="eastAsia" w:ascii="微软雅黑" w:hAnsi="微软雅黑" w:eastAsia="微软雅黑" w:cs="微软雅黑"/>
      <w:color w:val="000000"/>
      <w:sz w:val="20"/>
      <w:szCs w:val="20"/>
      <w:u w:val="none"/>
    </w:rPr>
  </w:style>
  <w:style w:type="character" w:customStyle="1" w:styleId="17">
    <w:name w:val="font21"/>
    <w:basedOn w:val="13"/>
    <w:autoRedefine/>
    <w:qFormat/>
    <w:uiPriority w:val="0"/>
    <w:rPr>
      <w:rFonts w:hint="default" w:ascii="Arial" w:hAnsi="Arial" w:cs="Arial"/>
      <w:color w:val="000000"/>
      <w:sz w:val="20"/>
      <w:szCs w:val="20"/>
      <w:u w:val="none"/>
    </w:rPr>
  </w:style>
  <w:style w:type="paragraph" w:customStyle="1" w:styleId="18">
    <w:name w:val="List Paragraph"/>
    <w:basedOn w:val="1"/>
    <w:autoRedefine/>
    <w:qFormat/>
    <w:uiPriority w:val="0"/>
    <w:pPr>
      <w:ind w:firstLine="420" w:firstLineChars="200"/>
    </w:pPr>
    <w:rPr>
      <w:rFonts w:ascii="Calibri" w:hAnsi="Calibri" w:eastAsia="宋体" w:cs="Calibri"/>
      <w:szCs w:val="21"/>
    </w:rPr>
  </w:style>
  <w:style w:type="paragraph" w:customStyle="1" w:styleId="19">
    <w:name w:val="Table Paragraph"/>
    <w:basedOn w:val="1"/>
    <w:autoRedefine/>
    <w:qFormat/>
    <w:uiPriority w:val="1"/>
    <w:pPr>
      <w:ind w:left="108"/>
    </w:pPr>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2993</Words>
  <Characters>3306</Characters>
  <Lines>0</Lines>
  <Paragraphs>0</Paragraphs>
  <TotalTime>1</TotalTime>
  <ScaleCrop>false</ScaleCrop>
  <LinksUpToDate>false</LinksUpToDate>
  <CharactersWithSpaces>3364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赵伟杰</cp:lastModifiedBy>
  <dcterms:modified xsi:type="dcterms:W3CDTF">2026-10-20T03:15:10Z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7DD3B33DF8494D8991973F17D61D11B0_13</vt:lpwstr>
  </property>
  <property fmtid="{D5CDD505-2E9C-101B-9397-08002B2CF9AE}" pid="4" name="KSOTemplateDocerSaveRecord">
    <vt:lpwstr>eyJoZGlkIjoiNTQ5MDIxMTMxYzVlNDQzYTlhZjQ3ZDQzNTk1ZjQyMmQiLCJ1c2VySWQiOiIxODk1MzkxMDI3In0=</vt:lpwstr>
  </property>
</Properties>
</file>